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EF6F04" w:rsidRDefault="00E77CB3" w:rsidP="00EF6F04">
      <w:pPr>
        <w:jc w:val="center"/>
        <w:rPr>
          <w:lang w:val="fr-FR"/>
        </w:rPr>
      </w:pPr>
      <w:bookmarkStart w:id="0" w:name="_GoBack"/>
      <w:bookmarkEnd w:id="0"/>
    </w:p>
    <w:p w:rsidR="00A14E21" w:rsidRPr="00EF6F04" w:rsidRDefault="00A14E21" w:rsidP="00EF6F04">
      <w:pPr>
        <w:jc w:val="center"/>
        <w:rPr>
          <w:lang w:val="fr-FR"/>
        </w:rPr>
      </w:pPr>
    </w:p>
    <w:p w:rsidR="007E77C2" w:rsidRPr="00EF6F04" w:rsidRDefault="007E77C2" w:rsidP="00EF6F04">
      <w:pPr>
        <w:jc w:val="center"/>
        <w:rPr>
          <w:lang w:val="fr-FR"/>
        </w:rPr>
      </w:pPr>
    </w:p>
    <w:p w:rsidR="00E77CB3" w:rsidRPr="00EF6F04" w:rsidRDefault="009A4160" w:rsidP="00EF6F04">
      <w:pPr>
        <w:jc w:val="center"/>
        <w:rPr>
          <w:lang w:val="fr-FR"/>
        </w:rPr>
      </w:pPr>
      <w:r w:rsidRPr="00EF6F04">
        <w:rPr>
          <w:lang w:val="fr-FR"/>
        </w:rPr>
        <w:t>PREMIÈRE SECTION</w:t>
      </w:r>
    </w:p>
    <w:p w:rsidR="00E77CB3" w:rsidRPr="00EF6F04" w:rsidRDefault="00E77CB3" w:rsidP="00EF6F04">
      <w:pPr>
        <w:jc w:val="center"/>
        <w:rPr>
          <w:lang w:val="fr-FR"/>
        </w:rPr>
      </w:pPr>
    </w:p>
    <w:p w:rsidR="00A14E21" w:rsidRPr="00EF6F04" w:rsidRDefault="00A14E21" w:rsidP="00EF6F04">
      <w:pPr>
        <w:jc w:val="center"/>
        <w:rPr>
          <w:lang w:val="fr-FR"/>
        </w:rPr>
      </w:pPr>
    </w:p>
    <w:p w:rsidR="00A14E21" w:rsidRPr="00EF6F04" w:rsidRDefault="00A14E21" w:rsidP="00EF6F04">
      <w:pPr>
        <w:jc w:val="center"/>
        <w:rPr>
          <w:lang w:val="fr-FR"/>
        </w:rPr>
      </w:pPr>
    </w:p>
    <w:p w:rsidR="00EF6F04" w:rsidRPr="00EF6F04" w:rsidRDefault="00EF6F04" w:rsidP="00EF6F04">
      <w:pPr>
        <w:jc w:val="center"/>
        <w:rPr>
          <w:lang w:val="fr-FR"/>
        </w:rPr>
      </w:pPr>
    </w:p>
    <w:p w:rsidR="00EF6F04" w:rsidRPr="00EF6F04" w:rsidRDefault="00EF6F04" w:rsidP="00EF6F04">
      <w:pPr>
        <w:jc w:val="center"/>
        <w:rPr>
          <w:lang w:val="fr-FR"/>
        </w:rPr>
      </w:pPr>
    </w:p>
    <w:p w:rsidR="00A14E21" w:rsidRPr="00EF6F04" w:rsidRDefault="00A14E21" w:rsidP="00EF6F04">
      <w:pPr>
        <w:jc w:val="center"/>
        <w:rPr>
          <w:lang w:val="fr-FR"/>
        </w:rPr>
      </w:pPr>
    </w:p>
    <w:p w:rsidR="00A14E21" w:rsidRPr="00EF6F04" w:rsidRDefault="00A14E21" w:rsidP="00EF6F04">
      <w:pPr>
        <w:jc w:val="center"/>
        <w:rPr>
          <w:lang w:val="fr-FR"/>
        </w:rPr>
      </w:pPr>
    </w:p>
    <w:p w:rsidR="00A14E21" w:rsidRPr="00EF6F04" w:rsidRDefault="00A14E21" w:rsidP="00EF6F04">
      <w:pPr>
        <w:jc w:val="center"/>
        <w:rPr>
          <w:lang w:val="fr-FR"/>
        </w:rPr>
      </w:pPr>
    </w:p>
    <w:p w:rsidR="009A4160" w:rsidRPr="00EF6F04" w:rsidRDefault="009A4160" w:rsidP="00EF6F04">
      <w:pPr>
        <w:jc w:val="center"/>
        <w:rPr>
          <w:b/>
          <w:lang w:val="fr-FR"/>
        </w:rPr>
      </w:pPr>
      <w:bookmarkStart w:id="1" w:name="To"/>
      <w:r w:rsidRPr="00EF6F04">
        <w:rPr>
          <w:b/>
          <w:lang w:val="fr-FR"/>
        </w:rPr>
        <w:t xml:space="preserve">AFFAIRE </w:t>
      </w:r>
      <w:bookmarkEnd w:id="1"/>
      <w:r w:rsidRPr="00EF6F04">
        <w:rPr>
          <w:b/>
          <w:lang w:val="fr-FR"/>
        </w:rPr>
        <w:t xml:space="preserve">OLIVIERI </w:t>
      </w:r>
      <w:r w:rsidR="00F616C4" w:rsidRPr="00EF6F04">
        <w:rPr>
          <w:b/>
          <w:lang w:val="fr-FR"/>
        </w:rPr>
        <w:t>ET AUTRES</w:t>
      </w:r>
      <w:r w:rsidRPr="00EF6F04">
        <w:rPr>
          <w:b/>
          <w:lang w:val="fr-FR"/>
        </w:rPr>
        <w:t xml:space="preserve"> c. ITALIE</w:t>
      </w:r>
    </w:p>
    <w:p w:rsidR="009A4160" w:rsidRPr="00EF6F04" w:rsidRDefault="009A4160" w:rsidP="00EF6F04">
      <w:pPr>
        <w:jc w:val="center"/>
        <w:rPr>
          <w:lang w:val="fr-FR"/>
        </w:rPr>
      </w:pPr>
    </w:p>
    <w:p w:rsidR="00A14E21" w:rsidRPr="00EF6F04" w:rsidRDefault="009A4160" w:rsidP="00EF6F04">
      <w:pPr>
        <w:jc w:val="center"/>
        <w:rPr>
          <w:szCs w:val="24"/>
          <w:lang w:val="fr-FR"/>
        </w:rPr>
      </w:pPr>
      <w:r w:rsidRPr="00EF6F04">
        <w:rPr>
          <w:i/>
          <w:lang w:val="fr-FR"/>
        </w:rPr>
        <w:t>(Requêtes n</w:t>
      </w:r>
      <w:r w:rsidRPr="00EF6F04">
        <w:rPr>
          <w:i/>
          <w:vertAlign w:val="superscript"/>
          <w:lang w:val="fr-FR"/>
        </w:rPr>
        <w:t>os</w:t>
      </w:r>
      <w:r w:rsidRPr="00EF6F04">
        <w:rPr>
          <w:i/>
          <w:lang w:val="fr-FR"/>
        </w:rPr>
        <w:t xml:space="preserve"> 17708/12</w:t>
      </w:r>
      <w:r w:rsidR="00F616C4" w:rsidRPr="00EF6F04">
        <w:rPr>
          <w:i/>
          <w:lang w:val="fr-FR"/>
        </w:rPr>
        <w:t>, 17717/12, 17729/12 et</w:t>
      </w:r>
      <w:r w:rsidRPr="00EF6F04">
        <w:rPr>
          <w:i/>
          <w:lang w:val="fr-FR"/>
        </w:rPr>
        <w:t xml:space="preserve"> 22994/12)</w:t>
      </w:r>
    </w:p>
    <w:p w:rsidR="00A14E21" w:rsidRPr="00EF6F04" w:rsidRDefault="00A14E21" w:rsidP="00EF6F04">
      <w:pPr>
        <w:jc w:val="center"/>
        <w:rPr>
          <w:szCs w:val="24"/>
          <w:u w:val="single"/>
          <w:lang w:val="fr-FR"/>
        </w:rPr>
      </w:pPr>
    </w:p>
    <w:p w:rsidR="007E77C2" w:rsidRPr="00EF6F04" w:rsidRDefault="007E77C2" w:rsidP="00EF6F04">
      <w:pPr>
        <w:jc w:val="center"/>
        <w:rPr>
          <w:szCs w:val="24"/>
          <w:u w:val="single"/>
          <w:lang w:val="fr-FR"/>
        </w:rPr>
      </w:pPr>
    </w:p>
    <w:p w:rsidR="007E77C2" w:rsidRPr="00EF6F04" w:rsidRDefault="007E77C2" w:rsidP="00EF6F04">
      <w:pPr>
        <w:jc w:val="center"/>
        <w:rPr>
          <w:szCs w:val="24"/>
          <w:u w:val="single"/>
          <w:lang w:val="fr-FR"/>
        </w:rPr>
      </w:pPr>
    </w:p>
    <w:p w:rsidR="007E77C2" w:rsidRPr="00EF6F04" w:rsidRDefault="007E77C2" w:rsidP="00EF6F04">
      <w:pPr>
        <w:jc w:val="center"/>
        <w:rPr>
          <w:szCs w:val="24"/>
          <w:u w:val="single"/>
          <w:lang w:val="fr-FR"/>
        </w:rPr>
      </w:pPr>
    </w:p>
    <w:p w:rsidR="007E77C2" w:rsidRPr="00EF6F04" w:rsidRDefault="007E77C2" w:rsidP="00EF6F04">
      <w:pPr>
        <w:jc w:val="center"/>
        <w:rPr>
          <w:szCs w:val="24"/>
          <w:u w:val="single"/>
          <w:lang w:val="fr-FR"/>
        </w:rPr>
      </w:pPr>
    </w:p>
    <w:p w:rsidR="00AF5649" w:rsidRPr="00EF6F04" w:rsidRDefault="00AF5649" w:rsidP="00EF6F04">
      <w:pPr>
        <w:jc w:val="center"/>
        <w:rPr>
          <w:szCs w:val="24"/>
          <w:u w:val="single"/>
          <w:lang w:val="fr-FR"/>
        </w:rPr>
      </w:pPr>
    </w:p>
    <w:p w:rsidR="00AF5649" w:rsidRPr="00EF6F04" w:rsidRDefault="00AF5649" w:rsidP="00EF6F04">
      <w:pPr>
        <w:jc w:val="center"/>
        <w:rPr>
          <w:szCs w:val="24"/>
          <w:u w:val="single"/>
          <w:lang w:val="fr-FR"/>
        </w:rPr>
      </w:pPr>
    </w:p>
    <w:p w:rsidR="00A14E21" w:rsidRPr="00EF6F04" w:rsidRDefault="00A14E21" w:rsidP="00EF6F04">
      <w:pPr>
        <w:jc w:val="center"/>
        <w:rPr>
          <w:szCs w:val="24"/>
          <w:u w:val="single"/>
          <w:lang w:val="fr-FR"/>
        </w:rPr>
      </w:pPr>
    </w:p>
    <w:p w:rsidR="00A14E21" w:rsidRPr="00EF6F04" w:rsidRDefault="00A14E21" w:rsidP="00EF6F04">
      <w:pPr>
        <w:jc w:val="center"/>
        <w:rPr>
          <w:szCs w:val="24"/>
          <w:u w:val="single"/>
          <w:lang w:val="fr-FR"/>
        </w:rPr>
      </w:pPr>
    </w:p>
    <w:p w:rsidR="00A14E21" w:rsidRPr="00EF6F04" w:rsidRDefault="00A14E21" w:rsidP="00EF6F04">
      <w:pPr>
        <w:jc w:val="center"/>
        <w:rPr>
          <w:szCs w:val="24"/>
          <w:lang w:val="fr-FR"/>
        </w:rPr>
      </w:pPr>
      <w:r w:rsidRPr="00EF6F04">
        <w:rPr>
          <w:szCs w:val="24"/>
          <w:lang w:val="fr-FR"/>
        </w:rPr>
        <w:t>ARRÊT</w:t>
      </w:r>
    </w:p>
    <w:p w:rsidR="0051098D" w:rsidRPr="00EF6F04" w:rsidRDefault="0051098D" w:rsidP="00EF6F04">
      <w:pPr>
        <w:jc w:val="center"/>
        <w:rPr>
          <w:szCs w:val="24"/>
          <w:lang w:val="fr-FR"/>
        </w:rPr>
      </w:pPr>
    </w:p>
    <w:p w:rsidR="00A14E21" w:rsidRPr="00EF6F04" w:rsidRDefault="00A14E21" w:rsidP="00EF6F04">
      <w:pPr>
        <w:jc w:val="center"/>
        <w:rPr>
          <w:szCs w:val="24"/>
          <w:lang w:val="fr-FR"/>
        </w:rPr>
      </w:pPr>
    </w:p>
    <w:p w:rsidR="00A14E21" w:rsidRPr="00EF6F04" w:rsidRDefault="00A14E21" w:rsidP="00EF6F04">
      <w:pPr>
        <w:jc w:val="center"/>
        <w:rPr>
          <w:szCs w:val="24"/>
          <w:lang w:val="fr-FR"/>
        </w:rPr>
      </w:pPr>
      <w:r w:rsidRPr="00EF6F04">
        <w:rPr>
          <w:szCs w:val="24"/>
          <w:lang w:val="fr-FR"/>
        </w:rPr>
        <w:t>STRASBOURG</w:t>
      </w:r>
    </w:p>
    <w:p w:rsidR="00A14E21" w:rsidRPr="00EF6F04" w:rsidRDefault="00A14E21" w:rsidP="00EF6F04">
      <w:pPr>
        <w:jc w:val="center"/>
        <w:rPr>
          <w:szCs w:val="24"/>
          <w:lang w:val="fr-FR"/>
        </w:rPr>
      </w:pPr>
    </w:p>
    <w:p w:rsidR="00A14E21" w:rsidRPr="00EF6F04" w:rsidRDefault="00B62111" w:rsidP="00EF6F04">
      <w:pPr>
        <w:jc w:val="center"/>
        <w:rPr>
          <w:szCs w:val="24"/>
          <w:lang w:val="fr-FR"/>
        </w:rPr>
      </w:pPr>
      <w:r w:rsidRPr="00EF6F04">
        <w:rPr>
          <w:szCs w:val="24"/>
          <w:lang w:val="fr-FR"/>
        </w:rPr>
        <w:t>25 février 2016</w:t>
      </w:r>
    </w:p>
    <w:p w:rsidR="00A14E21" w:rsidRPr="00EF6F04" w:rsidRDefault="00A14E21" w:rsidP="00EF6F04">
      <w:pPr>
        <w:jc w:val="center"/>
        <w:rPr>
          <w:szCs w:val="24"/>
          <w:lang w:val="fr-FR"/>
        </w:rPr>
      </w:pPr>
    </w:p>
    <w:p w:rsidR="00A14E21" w:rsidRPr="00EF6F04" w:rsidRDefault="00A14E21" w:rsidP="00EF6F04">
      <w:pPr>
        <w:jc w:val="center"/>
        <w:rPr>
          <w:szCs w:val="24"/>
          <w:lang w:val="fr-FR"/>
        </w:rPr>
      </w:pPr>
    </w:p>
    <w:p w:rsidR="0051098D" w:rsidRPr="00EF6F04" w:rsidRDefault="0051098D" w:rsidP="00EF6F04">
      <w:pPr>
        <w:jc w:val="center"/>
        <w:rPr>
          <w:szCs w:val="24"/>
          <w:lang w:val="fr-FR"/>
        </w:rPr>
      </w:pPr>
    </w:p>
    <w:p w:rsidR="0051098D" w:rsidRPr="00EF6F04" w:rsidRDefault="0051098D" w:rsidP="00EF6F04">
      <w:pPr>
        <w:jc w:val="center"/>
        <w:rPr>
          <w:szCs w:val="24"/>
          <w:lang w:val="fr-FR"/>
        </w:rPr>
      </w:pPr>
    </w:p>
    <w:p w:rsidR="009C1567" w:rsidRPr="00EF6F04" w:rsidRDefault="00A14E21" w:rsidP="00EF6F04">
      <w:pPr>
        <w:rPr>
          <w:i/>
          <w:sz w:val="22"/>
          <w:szCs w:val="24"/>
          <w:lang w:val="fr-FR"/>
        </w:rPr>
      </w:pPr>
      <w:r w:rsidRPr="00EF6F04">
        <w:rPr>
          <w:i/>
          <w:sz w:val="22"/>
          <w:szCs w:val="24"/>
          <w:lang w:val="fr-FR"/>
        </w:rPr>
        <w:t>Cet arrêt deviendra définitif dans les conditions définies à l</w:t>
      </w:r>
      <w:r w:rsidR="00EF6F04" w:rsidRPr="00EF6F04">
        <w:rPr>
          <w:i/>
          <w:sz w:val="22"/>
          <w:szCs w:val="24"/>
          <w:lang w:val="fr-FR"/>
        </w:rPr>
        <w:t>’</w:t>
      </w:r>
      <w:r w:rsidRPr="00EF6F04">
        <w:rPr>
          <w:i/>
          <w:sz w:val="22"/>
          <w:szCs w:val="24"/>
          <w:lang w:val="fr-FR"/>
        </w:rPr>
        <w:t>article 44 § 2 de la Convention. Il peut subir des retouches de forme.</w:t>
      </w:r>
    </w:p>
    <w:p w:rsidR="009C1567" w:rsidRPr="00EF6F04" w:rsidRDefault="009C1567" w:rsidP="00EF6F04">
      <w:pPr>
        <w:rPr>
          <w:szCs w:val="24"/>
          <w:lang w:val="fr-FR"/>
        </w:rPr>
      </w:pPr>
    </w:p>
    <w:p w:rsidR="00EF6F04" w:rsidRPr="00EF6F04" w:rsidRDefault="00EF6F04" w:rsidP="00EF6F04">
      <w:pPr>
        <w:rPr>
          <w:szCs w:val="24"/>
          <w:lang w:val="fr-FR"/>
        </w:rPr>
        <w:sectPr w:rsidR="00EF6F04" w:rsidRPr="00EF6F04" w:rsidSect="004640AC">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pPr>
    </w:p>
    <w:p w:rsidR="00E77CB3" w:rsidRPr="00EF6F04" w:rsidRDefault="00E77CB3" w:rsidP="00EF6F04">
      <w:pPr>
        <w:pStyle w:val="JuCase"/>
        <w:rPr>
          <w:lang w:val="fr-FR"/>
        </w:rPr>
      </w:pPr>
      <w:r w:rsidRPr="00EF6F04">
        <w:rPr>
          <w:lang w:val="fr-FR"/>
        </w:rPr>
        <w:lastRenderedPageBreak/>
        <w:t>En l</w:t>
      </w:r>
      <w:r w:rsidR="00EF6F04" w:rsidRPr="00EF6F04">
        <w:rPr>
          <w:lang w:val="fr-FR"/>
        </w:rPr>
        <w:t>’</w:t>
      </w:r>
      <w:r w:rsidRPr="00EF6F04">
        <w:rPr>
          <w:lang w:val="fr-FR"/>
        </w:rPr>
        <w:t xml:space="preserve">affaire </w:t>
      </w:r>
      <w:r w:rsidR="009A4160" w:rsidRPr="00EF6F04">
        <w:rPr>
          <w:lang w:val="fr-FR"/>
        </w:rPr>
        <w:t xml:space="preserve">Olivieri </w:t>
      </w:r>
      <w:r w:rsidR="0062031D" w:rsidRPr="00EF6F04">
        <w:rPr>
          <w:lang w:val="fr-FR"/>
        </w:rPr>
        <w:t xml:space="preserve">et autres </w:t>
      </w:r>
      <w:r w:rsidR="009A4160" w:rsidRPr="00EF6F04">
        <w:rPr>
          <w:lang w:val="fr-FR"/>
        </w:rPr>
        <w:t>c. Italie</w:t>
      </w:r>
      <w:r w:rsidRPr="00EF6F04">
        <w:rPr>
          <w:lang w:val="fr-FR"/>
        </w:rPr>
        <w:t>,</w:t>
      </w:r>
    </w:p>
    <w:p w:rsidR="00E77CB3" w:rsidRPr="00EF6F04" w:rsidRDefault="00E77CB3" w:rsidP="00EF6F04">
      <w:pPr>
        <w:pStyle w:val="ECHRPara"/>
        <w:rPr>
          <w:lang w:val="fr-FR"/>
        </w:rPr>
      </w:pPr>
      <w:r w:rsidRPr="00EF6F04">
        <w:rPr>
          <w:lang w:val="fr-FR"/>
        </w:rPr>
        <w:t>La Cour européenne des droits de l</w:t>
      </w:r>
      <w:r w:rsidR="00EF6F04" w:rsidRPr="00EF6F04">
        <w:rPr>
          <w:lang w:val="fr-FR"/>
        </w:rPr>
        <w:t>’</w:t>
      </w:r>
      <w:r w:rsidRPr="00EF6F04">
        <w:rPr>
          <w:lang w:val="fr-FR"/>
        </w:rPr>
        <w:t>homme (</w:t>
      </w:r>
      <w:r w:rsidR="009A4160" w:rsidRPr="00EF6F04">
        <w:rPr>
          <w:lang w:val="fr-FR"/>
        </w:rPr>
        <w:t>première section</w:t>
      </w:r>
      <w:r w:rsidRPr="00EF6F04">
        <w:rPr>
          <w:lang w:val="fr-FR"/>
        </w:rPr>
        <w:t xml:space="preserve">), siégeant en </w:t>
      </w:r>
      <w:r w:rsidR="009A4160" w:rsidRPr="00EF6F04">
        <w:rPr>
          <w:lang w:val="fr-FR"/>
        </w:rPr>
        <w:t>une chambre composée</w:t>
      </w:r>
      <w:r w:rsidRPr="00EF6F04">
        <w:rPr>
          <w:lang w:val="fr-FR"/>
        </w:rPr>
        <w:t xml:space="preserve"> de :</w:t>
      </w:r>
    </w:p>
    <w:p w:rsidR="00E77CB3" w:rsidRPr="00EF6F04" w:rsidRDefault="000D0275" w:rsidP="00EF6F04">
      <w:pPr>
        <w:pStyle w:val="ECHRDecisionBody"/>
        <w:rPr>
          <w:lang w:val="fr-FR"/>
        </w:rPr>
      </w:pPr>
      <w:r w:rsidRPr="00EF6F04">
        <w:rPr>
          <w:lang w:val="fr-FR"/>
        </w:rPr>
        <w:tab/>
        <w:t>Mirjana Lazarova Trajkovska,</w:t>
      </w:r>
      <w:r w:rsidRPr="00EF6F04">
        <w:rPr>
          <w:i/>
          <w:lang w:val="fr-FR"/>
        </w:rPr>
        <w:t xml:space="preserve"> présidente,</w:t>
      </w:r>
      <w:r w:rsidRPr="00EF6F04">
        <w:rPr>
          <w:i/>
          <w:lang w:val="fr-FR"/>
        </w:rPr>
        <w:br/>
      </w:r>
      <w:r w:rsidRPr="00EF6F04">
        <w:rPr>
          <w:lang w:val="fr-FR"/>
        </w:rPr>
        <w:tab/>
        <w:t>Ledi Bianku,</w:t>
      </w:r>
      <w:r w:rsidRPr="00EF6F04">
        <w:rPr>
          <w:i/>
          <w:lang w:val="fr-FR"/>
        </w:rPr>
        <w:br/>
      </w:r>
      <w:r w:rsidRPr="00EF6F04">
        <w:rPr>
          <w:lang w:val="fr-FR"/>
        </w:rPr>
        <w:tab/>
        <w:t>Guido Raimondi,</w:t>
      </w:r>
      <w:r w:rsidRPr="00EF6F04">
        <w:rPr>
          <w:i/>
          <w:lang w:val="fr-FR"/>
        </w:rPr>
        <w:br/>
      </w:r>
      <w:r w:rsidRPr="00EF6F04">
        <w:rPr>
          <w:lang w:val="fr-FR"/>
        </w:rPr>
        <w:tab/>
        <w:t>Kristina Pardalos,</w:t>
      </w:r>
      <w:r w:rsidRPr="00EF6F04">
        <w:rPr>
          <w:i/>
          <w:lang w:val="fr-FR"/>
        </w:rPr>
        <w:br/>
      </w:r>
      <w:r w:rsidRPr="00EF6F04">
        <w:rPr>
          <w:lang w:val="fr-FR"/>
        </w:rPr>
        <w:tab/>
        <w:t>Robert Spano,</w:t>
      </w:r>
      <w:r w:rsidRPr="00EF6F04">
        <w:rPr>
          <w:i/>
          <w:lang w:val="fr-FR"/>
        </w:rPr>
        <w:br/>
      </w:r>
      <w:r w:rsidRPr="00EF6F04">
        <w:rPr>
          <w:lang w:val="fr-FR"/>
        </w:rPr>
        <w:tab/>
        <w:t>Armen Harutyunyan,</w:t>
      </w:r>
      <w:r w:rsidRPr="00EF6F04">
        <w:rPr>
          <w:i/>
          <w:lang w:val="fr-FR"/>
        </w:rPr>
        <w:br/>
      </w:r>
      <w:r w:rsidRPr="00EF6F04">
        <w:rPr>
          <w:lang w:val="fr-FR"/>
        </w:rPr>
        <w:tab/>
        <w:t>Pauliine Koskelo,</w:t>
      </w:r>
      <w:r w:rsidRPr="00EF6F04">
        <w:rPr>
          <w:i/>
          <w:lang w:val="fr-FR"/>
        </w:rPr>
        <w:t xml:space="preserve"> juges,</w:t>
      </w:r>
      <w:r w:rsidRPr="00EF6F04">
        <w:rPr>
          <w:i/>
          <w:lang w:val="fr-FR"/>
        </w:rPr>
        <w:br/>
      </w:r>
      <w:r w:rsidR="00E77CB3" w:rsidRPr="00EF6F04">
        <w:rPr>
          <w:lang w:val="fr-FR"/>
        </w:rPr>
        <w:t xml:space="preserve">et de </w:t>
      </w:r>
      <w:r w:rsidR="00C94D6F" w:rsidRPr="00EF6F04">
        <w:rPr>
          <w:lang w:val="fr-FR"/>
        </w:rPr>
        <w:t>André Wampach</w:t>
      </w:r>
      <w:r w:rsidR="00E77CB3" w:rsidRPr="00EF6F04">
        <w:rPr>
          <w:lang w:val="fr-FR"/>
        </w:rPr>
        <w:t xml:space="preserve">, </w:t>
      </w:r>
      <w:r w:rsidR="009A4160" w:rsidRPr="00EF6F04">
        <w:rPr>
          <w:i/>
          <w:lang w:val="fr-FR"/>
        </w:rPr>
        <w:t>greffier</w:t>
      </w:r>
      <w:r w:rsidR="009A4160" w:rsidRPr="00EF6F04">
        <w:rPr>
          <w:iCs/>
          <w:lang w:val="fr-FR"/>
        </w:rPr>
        <w:t xml:space="preserve"> </w:t>
      </w:r>
      <w:r w:rsidR="00C94D6F" w:rsidRPr="00EF6F04">
        <w:rPr>
          <w:i/>
          <w:iCs/>
          <w:lang w:val="fr-FR"/>
        </w:rPr>
        <w:t>adjoint</w:t>
      </w:r>
      <w:r w:rsidR="00C94D6F" w:rsidRPr="00EF6F04">
        <w:rPr>
          <w:iCs/>
          <w:lang w:val="fr-FR"/>
        </w:rPr>
        <w:t xml:space="preserve"> </w:t>
      </w:r>
      <w:r w:rsidR="009A4160" w:rsidRPr="00EF6F04">
        <w:rPr>
          <w:i/>
          <w:iCs/>
          <w:lang w:val="fr-FR"/>
        </w:rPr>
        <w:t>d</w:t>
      </w:r>
      <w:r w:rsidR="009A4160" w:rsidRPr="00EF6F04">
        <w:rPr>
          <w:i/>
          <w:lang w:val="fr-FR"/>
        </w:rPr>
        <w:t>e section</w:t>
      </w:r>
      <w:r w:rsidR="00E77CB3" w:rsidRPr="00EF6F04">
        <w:rPr>
          <w:lang w:val="fr-FR"/>
        </w:rPr>
        <w:t>,</w:t>
      </w:r>
    </w:p>
    <w:p w:rsidR="00E77CB3" w:rsidRPr="00EF6F04" w:rsidRDefault="00E77CB3" w:rsidP="00EF6F04">
      <w:pPr>
        <w:pStyle w:val="ECHRPara"/>
        <w:rPr>
          <w:lang w:val="fr-FR"/>
        </w:rPr>
      </w:pPr>
      <w:r w:rsidRPr="00EF6F04">
        <w:rPr>
          <w:lang w:val="fr-FR"/>
        </w:rPr>
        <w:t xml:space="preserve">Après en avoir délibéré en chambre du conseil le </w:t>
      </w:r>
      <w:r w:rsidR="002C62ED" w:rsidRPr="00EF6F04">
        <w:rPr>
          <w:lang w:val="fr-FR"/>
        </w:rPr>
        <w:t>2 février 2016</w:t>
      </w:r>
      <w:r w:rsidRPr="00EF6F04">
        <w:rPr>
          <w:lang w:val="fr-FR"/>
        </w:rPr>
        <w:t>,</w:t>
      </w:r>
    </w:p>
    <w:p w:rsidR="00E77CB3" w:rsidRPr="00EF6F04" w:rsidRDefault="00E77CB3" w:rsidP="00EF6F04">
      <w:pPr>
        <w:pStyle w:val="ECHRPara"/>
        <w:rPr>
          <w:lang w:val="fr-FR"/>
        </w:rPr>
      </w:pPr>
      <w:r w:rsidRPr="00EF6F04">
        <w:rPr>
          <w:lang w:val="fr-FR"/>
        </w:rPr>
        <w:t>Rend l</w:t>
      </w:r>
      <w:r w:rsidR="00EF6F04" w:rsidRPr="00EF6F04">
        <w:rPr>
          <w:lang w:val="fr-FR"/>
        </w:rPr>
        <w:t>’</w:t>
      </w:r>
      <w:r w:rsidRPr="00EF6F04">
        <w:rPr>
          <w:lang w:val="fr-FR"/>
        </w:rPr>
        <w:t>arrêt que voici, adopté à cette date :</w:t>
      </w:r>
    </w:p>
    <w:p w:rsidR="00E77CB3" w:rsidRPr="00EF6F04" w:rsidRDefault="00E77CB3" w:rsidP="00EF6F04">
      <w:pPr>
        <w:pStyle w:val="ECHRTitle1"/>
        <w:rPr>
          <w:lang w:val="fr-FR"/>
        </w:rPr>
      </w:pPr>
      <w:r w:rsidRPr="00EF6F04">
        <w:rPr>
          <w:lang w:val="fr-FR"/>
        </w:rPr>
        <w:t>PROCÉDURE</w:t>
      </w:r>
    </w:p>
    <w:p w:rsidR="009A4160"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w:t>
      </w:r>
      <w:r w:rsidRPr="00EF6F04">
        <w:rPr>
          <w:lang w:val="fr-FR"/>
        </w:rPr>
        <w:fldChar w:fldCharType="end"/>
      </w:r>
      <w:r w:rsidR="00E77CB3" w:rsidRPr="00EF6F04">
        <w:rPr>
          <w:lang w:val="fr-FR"/>
        </w:rPr>
        <w:t>.  </w:t>
      </w:r>
      <w:r w:rsidRPr="00EF6F04">
        <w:rPr>
          <w:lang w:val="fr-FR"/>
        </w:rPr>
        <w:t>À l</w:t>
      </w:r>
      <w:r w:rsidR="00EF6F04" w:rsidRPr="00EF6F04">
        <w:rPr>
          <w:lang w:val="fr-FR"/>
        </w:rPr>
        <w:t>’</w:t>
      </w:r>
      <w:r w:rsidRPr="00EF6F04">
        <w:rPr>
          <w:lang w:val="fr-FR"/>
        </w:rPr>
        <w:t>origine de l</w:t>
      </w:r>
      <w:r w:rsidR="00EF6F04" w:rsidRPr="00EF6F04">
        <w:rPr>
          <w:lang w:val="fr-FR"/>
        </w:rPr>
        <w:t>’</w:t>
      </w:r>
      <w:r w:rsidRPr="00EF6F04">
        <w:rPr>
          <w:lang w:val="fr-FR"/>
        </w:rPr>
        <w:t>affaire se trouvent quatre requêtes (n</w:t>
      </w:r>
      <w:r w:rsidRPr="00EF6F04">
        <w:rPr>
          <w:vertAlign w:val="superscript"/>
          <w:lang w:val="fr-FR"/>
        </w:rPr>
        <w:t>os</w:t>
      </w:r>
      <w:r w:rsidR="006F687A" w:rsidRPr="00EF6F04">
        <w:rPr>
          <w:lang w:val="fr-FR"/>
        </w:rPr>
        <w:t> </w:t>
      </w:r>
      <w:r w:rsidRPr="00EF6F04">
        <w:rPr>
          <w:lang w:val="fr-FR"/>
        </w:rPr>
        <w:t xml:space="preserve">17708/12, 17717/12, 17729/12, 22994/12) dirigées contre la République italienne et dont neuf ressortissants de cet État, </w:t>
      </w:r>
      <w:r w:rsidR="0062031D" w:rsidRPr="00EF6F04">
        <w:rPr>
          <w:lang w:val="fr-FR"/>
        </w:rPr>
        <w:t>dont la liste figure en annexe</w:t>
      </w:r>
      <w:r w:rsidRPr="00EF6F04">
        <w:rPr>
          <w:lang w:val="fr-FR"/>
        </w:rPr>
        <w:t xml:space="preserve"> (« les requérants »), ont saisi la Cour entre le 2 mars et le 2 avril 2012 en vertu de l</w:t>
      </w:r>
      <w:r w:rsidR="00EF6F04" w:rsidRPr="00EF6F04">
        <w:rPr>
          <w:lang w:val="fr-FR"/>
        </w:rPr>
        <w:t>’</w:t>
      </w:r>
      <w:r w:rsidRPr="00EF6F04">
        <w:rPr>
          <w:lang w:val="fr-FR"/>
        </w:rPr>
        <w:t>article 34 de la Convention de sauvegarde des droits de l</w:t>
      </w:r>
      <w:r w:rsidR="00EF6F04" w:rsidRPr="00EF6F04">
        <w:rPr>
          <w:lang w:val="fr-FR"/>
        </w:rPr>
        <w:t>’</w:t>
      </w:r>
      <w:r w:rsidRPr="00EF6F04">
        <w:rPr>
          <w:lang w:val="fr-FR"/>
        </w:rPr>
        <w:t>homme et des libertés fondamentales (« la Convention »).</w:t>
      </w:r>
    </w:p>
    <w:p w:rsidR="00E16EF2" w:rsidRPr="00EF6F04" w:rsidRDefault="00CE65C8"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w:t>
      </w:r>
      <w:r w:rsidRPr="00EF6F04">
        <w:rPr>
          <w:lang w:val="fr-FR"/>
        </w:rPr>
        <w:fldChar w:fldCharType="end"/>
      </w:r>
      <w:r w:rsidRPr="00EF6F04">
        <w:rPr>
          <w:lang w:val="fr-FR"/>
        </w:rPr>
        <w:t>.  </w:t>
      </w:r>
      <w:r w:rsidR="009A4160" w:rsidRPr="00EF6F04">
        <w:rPr>
          <w:lang w:val="fr-FR"/>
        </w:rPr>
        <w:t>Les requérants ont été représentés par M</w:t>
      </w:r>
      <w:r w:rsidR="009A4160" w:rsidRPr="00EF6F04">
        <w:rPr>
          <w:vertAlign w:val="superscript"/>
          <w:lang w:val="fr-FR"/>
        </w:rPr>
        <w:t>e</w:t>
      </w:r>
      <w:r w:rsidR="009A4160" w:rsidRPr="00EF6F04">
        <w:rPr>
          <w:lang w:val="fr-FR"/>
        </w:rPr>
        <w:t> G. Romano, avocat à Bénévent. Le gouvernement italien (« le Gouvernement ») a été représenté par son agent, M</w:t>
      </w:r>
      <w:r w:rsidR="009A4160" w:rsidRPr="00EF6F04">
        <w:rPr>
          <w:vertAlign w:val="superscript"/>
          <w:lang w:val="fr-FR"/>
        </w:rPr>
        <w:t>me</w:t>
      </w:r>
      <w:r w:rsidR="0062031D" w:rsidRPr="00EF6F04">
        <w:rPr>
          <w:lang w:val="fr-FR"/>
        </w:rPr>
        <w:t xml:space="preserve"> E. Spatafora et son co</w:t>
      </w:r>
      <w:r w:rsidR="009A4160" w:rsidRPr="00EF6F04">
        <w:rPr>
          <w:lang w:val="fr-FR"/>
        </w:rPr>
        <w:t>agent M</w:t>
      </w:r>
      <w:r w:rsidR="00384D99" w:rsidRPr="00EF6F04">
        <w:rPr>
          <w:lang w:val="fr-FR"/>
        </w:rPr>
        <w:t>.</w:t>
      </w:r>
      <w:r w:rsidR="009A4160" w:rsidRPr="00EF6F04">
        <w:rPr>
          <w:lang w:val="fr-FR"/>
        </w:rPr>
        <w:t xml:space="preserve"> G.</w:t>
      </w:r>
      <w:r w:rsidR="00D96EAC" w:rsidRPr="00EF6F04">
        <w:rPr>
          <w:lang w:val="fr-FR"/>
        </w:rPr>
        <w:t xml:space="preserve"> </w:t>
      </w:r>
      <w:r w:rsidR="009A4160" w:rsidRPr="00EF6F04">
        <w:rPr>
          <w:lang w:val="fr-FR"/>
        </w:rPr>
        <w:t>M</w:t>
      </w:r>
      <w:r w:rsidR="0062031D" w:rsidRPr="00EF6F04">
        <w:rPr>
          <w:lang w:val="fr-FR"/>
        </w:rPr>
        <w:t>auro</w:t>
      </w:r>
      <w:r w:rsidR="009A4160" w:rsidRPr="00EF6F04">
        <w:rPr>
          <w:lang w:val="fr-FR"/>
        </w:rPr>
        <w:t xml:space="preserve"> Pellegrini.</w:t>
      </w:r>
    </w:p>
    <w:p w:rsidR="00E77CB3"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w:t>
      </w:r>
      <w:r w:rsidRPr="00EF6F04">
        <w:rPr>
          <w:lang w:val="fr-FR"/>
        </w:rPr>
        <w:fldChar w:fldCharType="end"/>
      </w:r>
      <w:r w:rsidRPr="00EF6F04">
        <w:rPr>
          <w:lang w:val="fr-FR"/>
        </w:rPr>
        <w:t>.  Les requérants allèguent en particulier une violation de leur droit à un procès dans un délai raisonnable</w:t>
      </w:r>
      <w:r w:rsidR="00465121" w:rsidRPr="00EF6F04">
        <w:rPr>
          <w:lang w:val="fr-FR"/>
        </w:rPr>
        <w:t xml:space="preserve"> (article 6</w:t>
      </w:r>
      <w:r w:rsidR="006F687A" w:rsidRPr="00EF6F04">
        <w:rPr>
          <w:lang w:val="fr-FR"/>
        </w:rPr>
        <w:t> </w:t>
      </w:r>
      <w:r w:rsidR="00465121" w:rsidRPr="00EF6F04">
        <w:rPr>
          <w:lang w:val="fr-FR"/>
        </w:rPr>
        <w:t>§</w:t>
      </w:r>
      <w:r w:rsidR="006F687A" w:rsidRPr="00EF6F04">
        <w:rPr>
          <w:lang w:val="fr-FR"/>
        </w:rPr>
        <w:t> </w:t>
      </w:r>
      <w:r w:rsidR="00465121" w:rsidRPr="00EF6F04">
        <w:rPr>
          <w:lang w:val="fr-FR"/>
        </w:rPr>
        <w:t>1 de la Convention)</w:t>
      </w:r>
      <w:r w:rsidRPr="00EF6F04">
        <w:rPr>
          <w:lang w:val="fr-FR"/>
        </w:rPr>
        <w:t xml:space="preserve"> et l</w:t>
      </w:r>
      <w:r w:rsidR="00EF6F04" w:rsidRPr="00EF6F04">
        <w:rPr>
          <w:lang w:val="fr-FR"/>
        </w:rPr>
        <w:t>’</w:t>
      </w:r>
      <w:r w:rsidRPr="00EF6F04">
        <w:rPr>
          <w:lang w:val="fr-FR"/>
        </w:rPr>
        <w:t>ineffectivité du remède interne</w:t>
      </w:r>
      <w:r w:rsidR="0062031D" w:rsidRPr="00EF6F04">
        <w:rPr>
          <w:lang w:val="fr-FR"/>
        </w:rPr>
        <w:t xml:space="preserve"> (article 13 de la Convention)</w:t>
      </w:r>
      <w:r w:rsidRPr="00EF6F04">
        <w:rPr>
          <w:lang w:val="fr-FR"/>
        </w:rPr>
        <w:t>.</w:t>
      </w:r>
    </w:p>
    <w:p w:rsidR="00E77CB3" w:rsidRPr="00EF6F04" w:rsidRDefault="009A4160" w:rsidP="00EF6F04">
      <w:pPr>
        <w:pStyle w:val="ECHRPara"/>
        <w:rPr>
          <w:szCs w:val="24"/>
          <w:lang w:val="fr-FR" w:eastAsia="en-GB"/>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w:t>
      </w:r>
      <w:r w:rsidRPr="00EF6F04">
        <w:rPr>
          <w:lang w:val="fr-FR"/>
        </w:rPr>
        <w:fldChar w:fldCharType="end"/>
      </w:r>
      <w:r w:rsidR="00E77CB3" w:rsidRPr="00EF6F04">
        <w:rPr>
          <w:lang w:val="fr-FR"/>
        </w:rPr>
        <w:t>.  </w:t>
      </w:r>
      <w:r w:rsidRPr="00EF6F04">
        <w:rPr>
          <w:lang w:val="fr-FR"/>
        </w:rPr>
        <w:t>Le 26 janvier 2015, les requêtes ont été communiquées au Gouvernement.</w:t>
      </w:r>
    </w:p>
    <w:p w:rsidR="00E77CB3" w:rsidRPr="00EF6F04" w:rsidRDefault="00E77CB3" w:rsidP="00EF6F04">
      <w:pPr>
        <w:pStyle w:val="ECHRTitle1"/>
        <w:tabs>
          <w:tab w:val="left" w:pos="5387"/>
        </w:tabs>
        <w:rPr>
          <w:lang w:val="fr-FR"/>
        </w:rPr>
      </w:pPr>
      <w:r w:rsidRPr="00EF6F04">
        <w:rPr>
          <w:lang w:val="fr-FR"/>
        </w:rPr>
        <w:t>EN FAIT</w:t>
      </w:r>
    </w:p>
    <w:p w:rsidR="00E77CB3" w:rsidRPr="00EF6F04" w:rsidRDefault="00E77CB3" w:rsidP="00EF6F04">
      <w:pPr>
        <w:pStyle w:val="ECHRHeading1"/>
        <w:rPr>
          <w:lang w:val="fr-FR"/>
        </w:rPr>
      </w:pPr>
      <w:r w:rsidRPr="00EF6F04">
        <w:rPr>
          <w:lang w:val="fr-FR"/>
        </w:rPr>
        <w:t>I.  LES CIRCONSTANCES DE L</w:t>
      </w:r>
      <w:r w:rsidR="00EF6F04" w:rsidRPr="00EF6F04">
        <w:rPr>
          <w:lang w:val="fr-FR"/>
        </w:rPr>
        <w:t>’</w:t>
      </w:r>
      <w:r w:rsidRPr="00EF6F04">
        <w:rPr>
          <w:lang w:val="fr-FR"/>
        </w:rPr>
        <w:t>ESPÈCE</w:t>
      </w:r>
    </w:p>
    <w:p w:rsidR="00E77CB3"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5</w:t>
      </w:r>
      <w:r w:rsidRPr="00EF6F04">
        <w:rPr>
          <w:lang w:val="fr-FR"/>
        </w:rPr>
        <w:fldChar w:fldCharType="end"/>
      </w:r>
      <w:r w:rsidR="00E77CB3" w:rsidRPr="00EF6F04">
        <w:rPr>
          <w:lang w:val="fr-FR"/>
        </w:rPr>
        <w:t>.  </w:t>
      </w:r>
      <w:r w:rsidRPr="00EF6F04">
        <w:rPr>
          <w:lang w:val="fr-FR"/>
        </w:rPr>
        <w:t>La liste des parties requérantes figure en annexe.</w:t>
      </w:r>
    </w:p>
    <w:p w:rsidR="009A4160"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w:t>
      </w:r>
      <w:r w:rsidRPr="00EF6F04">
        <w:rPr>
          <w:lang w:val="fr-FR"/>
        </w:rPr>
        <w:fldChar w:fldCharType="end"/>
      </w:r>
      <w:r w:rsidRPr="00EF6F04">
        <w:rPr>
          <w:lang w:val="fr-FR"/>
        </w:rPr>
        <w:t>.  Les faits de la cause, tels qu</w:t>
      </w:r>
      <w:r w:rsidR="00EF6F04" w:rsidRPr="00EF6F04">
        <w:rPr>
          <w:lang w:val="fr-FR"/>
        </w:rPr>
        <w:t>’</w:t>
      </w:r>
      <w:r w:rsidRPr="00EF6F04">
        <w:rPr>
          <w:lang w:val="fr-FR"/>
        </w:rPr>
        <w:t xml:space="preserve">ils ont été exposés par les </w:t>
      </w:r>
      <w:r w:rsidR="00F63A66" w:rsidRPr="00EF6F04">
        <w:rPr>
          <w:lang w:val="fr-FR"/>
        </w:rPr>
        <w:t>parties</w:t>
      </w:r>
      <w:r w:rsidRPr="00EF6F04">
        <w:rPr>
          <w:lang w:val="fr-FR"/>
        </w:rPr>
        <w:t>, peuvent se résumer comme suit.</w:t>
      </w:r>
    </w:p>
    <w:p w:rsidR="009A4160"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w:t>
      </w:r>
      <w:r w:rsidRPr="00EF6F04">
        <w:rPr>
          <w:lang w:val="fr-FR"/>
        </w:rPr>
        <w:fldChar w:fldCharType="end"/>
      </w:r>
      <w:r w:rsidRPr="00EF6F04">
        <w:rPr>
          <w:lang w:val="fr-FR"/>
        </w:rPr>
        <w:t xml:space="preserve">.  Le 23 août 1990, </w:t>
      </w:r>
      <w:r w:rsidR="00DC7085" w:rsidRPr="00EF6F04">
        <w:rPr>
          <w:lang w:val="fr-FR"/>
        </w:rPr>
        <w:t>M</w:t>
      </w:r>
      <w:r w:rsidR="00384D99" w:rsidRPr="00EF6F04">
        <w:rPr>
          <w:lang w:val="fr-FR"/>
        </w:rPr>
        <w:t>.</w:t>
      </w:r>
      <w:r w:rsidR="00087E2B" w:rsidRPr="00EF6F04">
        <w:rPr>
          <w:lang w:val="fr-FR"/>
        </w:rPr>
        <w:t xml:space="preserve"> G. Olivieri</w:t>
      </w:r>
      <w:r w:rsidR="000658AB" w:rsidRPr="00EF6F04">
        <w:rPr>
          <w:lang w:val="fr-FR"/>
        </w:rPr>
        <w:t xml:space="preserve">, </w:t>
      </w:r>
      <w:r w:rsidR="00713BBC" w:rsidRPr="00EF6F04">
        <w:rPr>
          <w:lang w:val="fr-FR"/>
        </w:rPr>
        <w:t>M</w:t>
      </w:r>
      <w:r w:rsidR="00384D99" w:rsidRPr="00EF6F04">
        <w:rPr>
          <w:lang w:val="fr-FR"/>
        </w:rPr>
        <w:t>.</w:t>
      </w:r>
      <w:r w:rsidR="00713BBC" w:rsidRPr="00EF6F04">
        <w:rPr>
          <w:lang w:val="fr-FR"/>
        </w:rPr>
        <w:t xml:space="preserve"> </w:t>
      </w:r>
      <w:r w:rsidR="000658AB" w:rsidRPr="00EF6F04">
        <w:rPr>
          <w:lang w:val="fr-FR"/>
        </w:rPr>
        <w:t xml:space="preserve">S.V., </w:t>
      </w:r>
      <w:r w:rsidR="00713BBC" w:rsidRPr="00EF6F04">
        <w:rPr>
          <w:lang w:val="fr-FR"/>
        </w:rPr>
        <w:t>M</w:t>
      </w:r>
      <w:r w:rsidR="00384D99" w:rsidRPr="00EF6F04">
        <w:rPr>
          <w:lang w:val="fr-FR"/>
        </w:rPr>
        <w:t>.</w:t>
      </w:r>
      <w:r w:rsidR="00713BBC" w:rsidRPr="00EF6F04">
        <w:rPr>
          <w:lang w:val="fr-FR"/>
        </w:rPr>
        <w:t xml:space="preserve"> </w:t>
      </w:r>
      <w:r w:rsidR="000658AB" w:rsidRPr="00EF6F04">
        <w:rPr>
          <w:lang w:val="fr-FR"/>
        </w:rPr>
        <w:t xml:space="preserve">A.R. et </w:t>
      </w:r>
      <w:r w:rsidR="00713BBC" w:rsidRPr="00EF6F04">
        <w:rPr>
          <w:lang w:val="fr-FR"/>
        </w:rPr>
        <w:t>M</w:t>
      </w:r>
      <w:r w:rsidR="00384D99" w:rsidRPr="00EF6F04">
        <w:rPr>
          <w:lang w:val="fr-FR"/>
        </w:rPr>
        <w:t>.</w:t>
      </w:r>
      <w:r w:rsidR="00713BBC" w:rsidRPr="00EF6F04">
        <w:rPr>
          <w:lang w:val="fr-FR"/>
        </w:rPr>
        <w:t xml:space="preserve"> </w:t>
      </w:r>
      <w:r w:rsidR="000658AB" w:rsidRPr="00EF6F04">
        <w:rPr>
          <w:lang w:val="fr-FR"/>
        </w:rPr>
        <w:t xml:space="preserve">G.V., </w:t>
      </w:r>
      <w:r w:rsidRPr="00EF6F04">
        <w:rPr>
          <w:lang w:val="fr-FR"/>
        </w:rPr>
        <w:t>salariés de la municipalité de Bénévent</w:t>
      </w:r>
      <w:r w:rsidR="00073E0A" w:rsidRPr="00EF6F04">
        <w:rPr>
          <w:lang w:val="fr-FR"/>
        </w:rPr>
        <w:t xml:space="preserve">, </w:t>
      </w:r>
      <w:r w:rsidR="00E656A3" w:rsidRPr="00EF6F04">
        <w:rPr>
          <w:lang w:val="fr-FR"/>
        </w:rPr>
        <w:t>dépos</w:t>
      </w:r>
      <w:r w:rsidR="0076172F" w:rsidRPr="00EF6F04">
        <w:rPr>
          <w:lang w:val="fr-FR"/>
        </w:rPr>
        <w:t>èrent</w:t>
      </w:r>
      <w:r w:rsidR="00E656A3" w:rsidRPr="00EF6F04">
        <w:rPr>
          <w:lang w:val="fr-FR"/>
        </w:rPr>
        <w:t xml:space="preserve"> chacun un recours</w:t>
      </w:r>
      <w:r w:rsidRPr="00EF6F04">
        <w:rPr>
          <w:lang w:val="fr-FR"/>
        </w:rPr>
        <w:t xml:space="preserve"> </w:t>
      </w:r>
      <w:r w:rsidRPr="00EF6F04">
        <w:rPr>
          <w:lang w:val="fr-FR"/>
        </w:rPr>
        <w:lastRenderedPageBreak/>
        <w:t>devant le tribunal administratif régional (« le TAR ») de Campanie (voir tableau en annexe) visant à obtenir la rectification des calculs relatif</w:t>
      </w:r>
      <w:r w:rsidR="00753393" w:rsidRPr="00EF6F04">
        <w:rPr>
          <w:lang w:val="fr-FR"/>
        </w:rPr>
        <w:t>s</w:t>
      </w:r>
      <w:r w:rsidRPr="00EF6F04">
        <w:rPr>
          <w:lang w:val="fr-FR"/>
        </w:rPr>
        <w:t xml:space="preserve"> à l</w:t>
      </w:r>
      <w:r w:rsidR="00753393" w:rsidRPr="00EF6F04">
        <w:rPr>
          <w:lang w:val="fr-FR"/>
        </w:rPr>
        <w:t xml:space="preserve">eur </w:t>
      </w:r>
      <w:r w:rsidRPr="00EF6F04">
        <w:rPr>
          <w:lang w:val="fr-FR"/>
        </w:rPr>
        <w:t>ancienneté de service et la condamnation de la collectivité locale au versement des différences de rétribution. Cha</w:t>
      </w:r>
      <w:r w:rsidR="006F687A" w:rsidRPr="00EF6F04">
        <w:rPr>
          <w:lang w:val="fr-FR"/>
        </w:rPr>
        <w:t>que salarié</w:t>
      </w:r>
      <w:r w:rsidRPr="00EF6F04">
        <w:rPr>
          <w:lang w:val="fr-FR"/>
        </w:rPr>
        <w:t xml:space="preserve"> présenta </w:t>
      </w:r>
      <w:r w:rsidR="005C5C13" w:rsidRPr="00EF6F04">
        <w:rPr>
          <w:lang w:val="fr-FR"/>
        </w:rPr>
        <w:t xml:space="preserve">conjointement </w:t>
      </w:r>
      <w:r w:rsidRPr="00EF6F04">
        <w:rPr>
          <w:lang w:val="fr-FR"/>
        </w:rPr>
        <w:t xml:space="preserve">une demande de fixation </w:t>
      </w:r>
      <w:r w:rsidR="00C2770C" w:rsidRPr="00EF6F04">
        <w:rPr>
          <w:lang w:val="fr-FR"/>
        </w:rPr>
        <w:t xml:space="preserve">de </w:t>
      </w:r>
      <w:r w:rsidRPr="00EF6F04">
        <w:rPr>
          <w:lang w:val="fr-FR"/>
        </w:rPr>
        <w:t>l</w:t>
      </w:r>
      <w:r w:rsidR="00EF6F04" w:rsidRPr="00EF6F04">
        <w:rPr>
          <w:lang w:val="fr-FR"/>
        </w:rPr>
        <w:t>’</w:t>
      </w:r>
      <w:r w:rsidRPr="00EF6F04">
        <w:rPr>
          <w:lang w:val="fr-FR"/>
        </w:rPr>
        <w:t>audience (</w:t>
      </w:r>
      <w:r w:rsidR="00331E72" w:rsidRPr="00EF6F04">
        <w:rPr>
          <w:i/>
          <w:lang w:val="fr-FR"/>
        </w:rPr>
        <w:t>istanza di fissazione dell</w:t>
      </w:r>
      <w:r w:rsidR="00EF6F04" w:rsidRPr="00EF6F04">
        <w:rPr>
          <w:i/>
          <w:lang w:val="fr-FR"/>
        </w:rPr>
        <w:t>’</w:t>
      </w:r>
      <w:r w:rsidR="00331E72" w:rsidRPr="00EF6F04">
        <w:rPr>
          <w:i/>
          <w:lang w:val="fr-FR"/>
        </w:rPr>
        <w:t>udienza</w:t>
      </w:r>
      <w:r w:rsidRPr="00EF6F04">
        <w:rPr>
          <w:lang w:val="fr-FR"/>
        </w:rPr>
        <w:t>).</w:t>
      </w:r>
    </w:p>
    <w:p w:rsidR="009A4160"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8</w:t>
      </w:r>
      <w:r w:rsidRPr="00EF6F04">
        <w:rPr>
          <w:lang w:val="fr-FR"/>
        </w:rPr>
        <w:fldChar w:fldCharType="end"/>
      </w:r>
      <w:r w:rsidRPr="00EF6F04">
        <w:rPr>
          <w:lang w:val="fr-FR"/>
        </w:rPr>
        <w:t>.  Le 26 février 2008, le greffe du TAR signifia à chaque</w:t>
      </w:r>
      <w:r w:rsidR="00753393" w:rsidRPr="00EF6F04">
        <w:rPr>
          <w:lang w:val="fr-FR"/>
        </w:rPr>
        <w:t xml:space="preserve"> </w:t>
      </w:r>
      <w:r w:rsidR="00E656A3" w:rsidRPr="00EF6F04">
        <w:rPr>
          <w:lang w:val="fr-FR"/>
        </w:rPr>
        <w:t>partie</w:t>
      </w:r>
      <w:r w:rsidRPr="00EF6F04">
        <w:rPr>
          <w:lang w:val="fr-FR"/>
        </w:rPr>
        <w:t>, en application de l</w:t>
      </w:r>
      <w:r w:rsidR="00EF6F04" w:rsidRPr="00EF6F04">
        <w:rPr>
          <w:lang w:val="fr-FR"/>
        </w:rPr>
        <w:t>’</w:t>
      </w:r>
      <w:r w:rsidRPr="00EF6F04">
        <w:rPr>
          <w:lang w:val="fr-FR"/>
        </w:rPr>
        <w:t>article 9, alinéa 2 de la loi n</w:t>
      </w:r>
      <w:r w:rsidRPr="00EF6F04">
        <w:rPr>
          <w:vertAlign w:val="superscript"/>
          <w:lang w:val="fr-FR"/>
        </w:rPr>
        <w:t>o</w:t>
      </w:r>
      <w:r w:rsidRPr="00EF6F04">
        <w:rPr>
          <w:lang w:val="fr-FR"/>
        </w:rPr>
        <w:t xml:space="preserve"> 205</w:t>
      </w:r>
      <w:r w:rsidR="00753393" w:rsidRPr="00EF6F04">
        <w:rPr>
          <w:lang w:val="fr-FR"/>
        </w:rPr>
        <w:t xml:space="preserve"> du 21 juillet </w:t>
      </w:r>
      <w:r w:rsidRPr="00EF6F04">
        <w:rPr>
          <w:lang w:val="fr-FR"/>
        </w:rPr>
        <w:t>2000, un avis portant sur l</w:t>
      </w:r>
      <w:r w:rsidR="00EF6F04" w:rsidRPr="00EF6F04">
        <w:rPr>
          <w:lang w:val="fr-FR"/>
        </w:rPr>
        <w:t>’</w:t>
      </w:r>
      <w:r w:rsidRPr="00EF6F04">
        <w:rPr>
          <w:lang w:val="fr-FR"/>
        </w:rPr>
        <w:t>obligation de présenter une nouvelle demande de fixation de l</w:t>
      </w:r>
      <w:r w:rsidR="00EF6F04" w:rsidRPr="00EF6F04">
        <w:rPr>
          <w:lang w:val="fr-FR"/>
        </w:rPr>
        <w:t>’</w:t>
      </w:r>
      <w:r w:rsidRPr="00EF6F04">
        <w:rPr>
          <w:lang w:val="fr-FR"/>
        </w:rPr>
        <w:t xml:space="preserve">audience, sous peine de péremption du recours. </w:t>
      </w:r>
      <w:r w:rsidR="005E26E6" w:rsidRPr="00EF6F04">
        <w:rPr>
          <w:lang w:val="fr-FR"/>
        </w:rPr>
        <w:t>L</w:t>
      </w:r>
      <w:r w:rsidR="00CD31EE" w:rsidRPr="00EF6F04">
        <w:rPr>
          <w:lang w:val="fr-FR"/>
        </w:rPr>
        <w:t xml:space="preserve">es </w:t>
      </w:r>
      <w:r w:rsidRPr="00EF6F04">
        <w:rPr>
          <w:lang w:val="fr-FR"/>
        </w:rPr>
        <w:t>requérants</w:t>
      </w:r>
      <w:r w:rsidR="00964C4B" w:rsidRPr="00EF6F04">
        <w:rPr>
          <w:lang w:val="fr-FR"/>
        </w:rPr>
        <w:t>, dont les héritiers</w:t>
      </w:r>
      <w:r w:rsidR="00AF7B53" w:rsidRPr="00EF6F04">
        <w:rPr>
          <w:lang w:val="fr-FR"/>
        </w:rPr>
        <w:t xml:space="preserve"> de S.V., A.R. et G.V.</w:t>
      </w:r>
      <w:r w:rsidR="005E26E6" w:rsidRPr="00EF6F04">
        <w:rPr>
          <w:lang w:val="fr-FR"/>
        </w:rPr>
        <w:t>,</w:t>
      </w:r>
      <w:r w:rsidR="00964C4B" w:rsidRPr="00EF6F04">
        <w:rPr>
          <w:lang w:val="fr-FR"/>
        </w:rPr>
        <w:t xml:space="preserve"> </w:t>
      </w:r>
      <w:r w:rsidR="0076172F" w:rsidRPr="00EF6F04">
        <w:rPr>
          <w:lang w:val="fr-FR"/>
        </w:rPr>
        <w:t xml:space="preserve">intervenus </w:t>
      </w:r>
      <w:r w:rsidR="00ED71F9" w:rsidRPr="00EF6F04">
        <w:rPr>
          <w:lang w:val="fr-FR"/>
        </w:rPr>
        <w:t>dans l</w:t>
      </w:r>
      <w:r w:rsidR="003404F4" w:rsidRPr="00EF6F04">
        <w:rPr>
          <w:lang w:val="fr-FR"/>
        </w:rPr>
        <w:t>es</w:t>
      </w:r>
      <w:r w:rsidR="000C69F7" w:rsidRPr="00EF6F04">
        <w:rPr>
          <w:lang w:val="fr-FR"/>
        </w:rPr>
        <w:t xml:space="preserve"> respectives</w:t>
      </w:r>
      <w:r w:rsidR="00ED71F9" w:rsidRPr="00EF6F04">
        <w:rPr>
          <w:lang w:val="fr-FR"/>
        </w:rPr>
        <w:t xml:space="preserve"> procédure</w:t>
      </w:r>
      <w:r w:rsidR="000C69F7" w:rsidRPr="00EF6F04">
        <w:rPr>
          <w:lang w:val="fr-FR"/>
        </w:rPr>
        <w:t>s</w:t>
      </w:r>
      <w:r w:rsidR="005E26E6" w:rsidRPr="00EF6F04">
        <w:rPr>
          <w:lang w:val="fr-FR"/>
        </w:rPr>
        <w:t xml:space="preserve"> entre juillet et septembre 2008</w:t>
      </w:r>
      <w:r w:rsidR="000C69F7" w:rsidRPr="00EF6F04">
        <w:rPr>
          <w:lang w:val="fr-FR"/>
        </w:rPr>
        <w:t xml:space="preserve">, </w:t>
      </w:r>
      <w:r w:rsidRPr="00EF6F04">
        <w:rPr>
          <w:lang w:val="fr-FR"/>
        </w:rPr>
        <w:t>déposèrent</w:t>
      </w:r>
      <w:r w:rsidR="005E26E6" w:rsidRPr="00EF6F04">
        <w:rPr>
          <w:lang w:val="fr-FR"/>
        </w:rPr>
        <w:t xml:space="preserve"> aux mêmes dates</w:t>
      </w:r>
      <w:r w:rsidRPr="00EF6F04">
        <w:rPr>
          <w:lang w:val="fr-FR"/>
        </w:rPr>
        <w:t xml:space="preserve"> une nouvelle demande de fixation de l</w:t>
      </w:r>
      <w:r w:rsidR="00EF6F04" w:rsidRPr="00EF6F04">
        <w:rPr>
          <w:lang w:val="fr-FR"/>
        </w:rPr>
        <w:t>’</w:t>
      </w:r>
      <w:r w:rsidRPr="00EF6F04">
        <w:rPr>
          <w:lang w:val="fr-FR"/>
        </w:rPr>
        <w:t>audience</w:t>
      </w:r>
      <w:r w:rsidR="00CD31EE" w:rsidRPr="00EF6F04">
        <w:rPr>
          <w:lang w:val="fr-FR"/>
        </w:rPr>
        <w:t xml:space="preserve"> (voir tableau en annexe)</w:t>
      </w:r>
      <w:r w:rsidRPr="00EF6F04">
        <w:rPr>
          <w:lang w:val="fr-FR"/>
        </w:rPr>
        <w:t>.</w:t>
      </w:r>
    </w:p>
    <w:p w:rsidR="009A4160"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9</w:t>
      </w:r>
      <w:r w:rsidRPr="00EF6F04">
        <w:rPr>
          <w:lang w:val="fr-FR"/>
        </w:rPr>
        <w:fldChar w:fldCharType="end"/>
      </w:r>
      <w:r w:rsidRPr="00EF6F04">
        <w:rPr>
          <w:lang w:val="fr-FR"/>
        </w:rPr>
        <w:t>.  En même temps, les requérants, sur le fondement de la loi n</w:t>
      </w:r>
      <w:r w:rsidRPr="00EF6F04">
        <w:rPr>
          <w:vertAlign w:val="superscript"/>
          <w:lang w:val="fr-FR"/>
        </w:rPr>
        <w:t>o</w:t>
      </w:r>
      <w:r w:rsidR="006F687A" w:rsidRPr="00EF6F04">
        <w:rPr>
          <w:lang w:val="fr-FR"/>
        </w:rPr>
        <w:t> </w:t>
      </w:r>
      <w:r w:rsidRPr="00EF6F04">
        <w:rPr>
          <w:lang w:val="fr-FR"/>
        </w:rPr>
        <w:t>89/2001 dite loi « Pinto », introduisirent un recours devant la cour d</w:t>
      </w:r>
      <w:r w:rsidR="00EF6F04" w:rsidRPr="00EF6F04">
        <w:rPr>
          <w:lang w:val="fr-FR"/>
        </w:rPr>
        <w:t>’</w:t>
      </w:r>
      <w:r w:rsidRPr="00EF6F04">
        <w:rPr>
          <w:lang w:val="fr-FR"/>
        </w:rPr>
        <w:t>appel de Naples pour se plaindre de la durée excessive de la procédure administrative.</w:t>
      </w:r>
    </w:p>
    <w:p w:rsidR="009A4160"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10</w:t>
      </w:r>
      <w:r w:rsidRPr="00EF6F04">
        <w:rPr>
          <w:lang w:val="fr-FR"/>
        </w:rPr>
        <w:fldChar w:fldCharType="end"/>
      </w:r>
      <w:r w:rsidRPr="00EF6F04">
        <w:rPr>
          <w:lang w:val="fr-FR"/>
        </w:rPr>
        <w:t>.  La cour d</w:t>
      </w:r>
      <w:r w:rsidR="00EF6F04" w:rsidRPr="00EF6F04">
        <w:rPr>
          <w:lang w:val="fr-FR"/>
        </w:rPr>
        <w:t>’</w:t>
      </w:r>
      <w:r w:rsidRPr="00EF6F04">
        <w:rPr>
          <w:lang w:val="fr-FR"/>
        </w:rPr>
        <w:t>appel de Naples, entre février et avril 2009 (voir tableau en annexe), déclara les recours irrecevables. Elle constata qu</w:t>
      </w:r>
      <w:r w:rsidR="00EF6F04" w:rsidRPr="00EF6F04">
        <w:rPr>
          <w:lang w:val="fr-FR"/>
        </w:rPr>
        <w:t>’</w:t>
      </w:r>
      <w:r w:rsidRPr="00EF6F04">
        <w:rPr>
          <w:lang w:val="fr-FR"/>
        </w:rPr>
        <w:t xml:space="preserve">au cours de la procédure </w:t>
      </w:r>
      <w:r w:rsidR="005C5C13" w:rsidRPr="00EF6F04">
        <w:rPr>
          <w:lang w:val="fr-FR"/>
        </w:rPr>
        <w:t xml:space="preserve">juridictionnelle </w:t>
      </w:r>
      <w:r w:rsidRPr="00EF6F04">
        <w:rPr>
          <w:lang w:val="fr-FR"/>
        </w:rPr>
        <w:t>administrative, les requérants n</w:t>
      </w:r>
      <w:r w:rsidR="00EF6F04" w:rsidRPr="00EF6F04">
        <w:rPr>
          <w:lang w:val="fr-FR"/>
        </w:rPr>
        <w:t>’</w:t>
      </w:r>
      <w:r w:rsidRPr="00EF6F04">
        <w:rPr>
          <w:lang w:val="fr-FR"/>
        </w:rPr>
        <w:t>avaient pas présenté une demande de fixation en urgence de</w:t>
      </w:r>
      <w:r w:rsidR="00C2770C" w:rsidRPr="00EF6F04">
        <w:rPr>
          <w:lang w:val="fr-FR"/>
        </w:rPr>
        <w:t xml:space="preserve"> la date de</w:t>
      </w:r>
      <w:r w:rsidRPr="00EF6F04">
        <w:rPr>
          <w:lang w:val="fr-FR"/>
        </w:rPr>
        <w:t xml:space="preserve"> l</w:t>
      </w:r>
      <w:r w:rsidR="00EF6F04" w:rsidRPr="00EF6F04">
        <w:rPr>
          <w:lang w:val="fr-FR"/>
        </w:rPr>
        <w:t>’</w:t>
      </w:r>
      <w:r w:rsidRPr="00EF6F04">
        <w:rPr>
          <w:lang w:val="fr-FR"/>
        </w:rPr>
        <w:t>audience (</w:t>
      </w:r>
      <w:r w:rsidRPr="00EF6F04">
        <w:rPr>
          <w:i/>
          <w:lang w:val="fr-FR"/>
        </w:rPr>
        <w:t>istanza di prelievo</w:t>
      </w:r>
      <w:r w:rsidRPr="00EF6F04">
        <w:rPr>
          <w:lang w:val="fr-FR"/>
        </w:rPr>
        <w:t>), nouvelle condition de recevabilité des recours « Pinto »</w:t>
      </w:r>
      <w:r w:rsidR="00C2770C" w:rsidRPr="00EF6F04">
        <w:rPr>
          <w:lang w:val="fr-FR"/>
        </w:rPr>
        <w:t>,</w:t>
      </w:r>
      <w:r w:rsidRPr="00EF6F04">
        <w:rPr>
          <w:lang w:val="fr-FR"/>
        </w:rPr>
        <w:t xml:space="preserve"> introduite avec le décret-loi n</w:t>
      </w:r>
      <w:r w:rsidRPr="00EF6F04">
        <w:rPr>
          <w:vertAlign w:val="superscript"/>
          <w:lang w:val="fr-FR"/>
        </w:rPr>
        <w:t>o</w:t>
      </w:r>
      <w:r w:rsidR="006F687A" w:rsidRPr="00EF6F04">
        <w:rPr>
          <w:lang w:val="fr-FR"/>
        </w:rPr>
        <w:t> 112 du </w:t>
      </w:r>
      <w:r w:rsidR="005C5C13" w:rsidRPr="00EF6F04">
        <w:rPr>
          <w:lang w:val="fr-FR"/>
        </w:rPr>
        <w:t>25</w:t>
      </w:r>
      <w:r w:rsidR="006F687A" w:rsidRPr="00EF6F04">
        <w:rPr>
          <w:lang w:val="fr-FR"/>
        </w:rPr>
        <w:t> </w:t>
      </w:r>
      <w:r w:rsidR="005C5C13" w:rsidRPr="00EF6F04">
        <w:rPr>
          <w:lang w:val="fr-FR"/>
        </w:rPr>
        <w:t>juin</w:t>
      </w:r>
      <w:r w:rsidR="006F687A" w:rsidRPr="00EF6F04">
        <w:rPr>
          <w:lang w:val="fr-FR"/>
        </w:rPr>
        <w:t> </w:t>
      </w:r>
      <w:r w:rsidR="005C5C13" w:rsidRPr="00EF6F04">
        <w:rPr>
          <w:lang w:val="fr-FR"/>
        </w:rPr>
        <w:t>2008</w:t>
      </w:r>
      <w:r w:rsidRPr="00EF6F04">
        <w:rPr>
          <w:lang w:val="fr-FR"/>
        </w:rPr>
        <w:t>. Le 4</w:t>
      </w:r>
      <w:r w:rsidR="006F687A" w:rsidRPr="00EF6F04">
        <w:rPr>
          <w:lang w:val="fr-FR"/>
        </w:rPr>
        <w:t> </w:t>
      </w:r>
      <w:r w:rsidRPr="00EF6F04">
        <w:rPr>
          <w:lang w:val="fr-FR"/>
        </w:rPr>
        <w:t>novembre</w:t>
      </w:r>
      <w:r w:rsidR="006F687A" w:rsidRPr="00EF6F04">
        <w:rPr>
          <w:lang w:val="fr-FR"/>
        </w:rPr>
        <w:t> </w:t>
      </w:r>
      <w:r w:rsidRPr="00EF6F04">
        <w:rPr>
          <w:lang w:val="fr-FR"/>
        </w:rPr>
        <w:t>2011, la Cour de cassation rejeta les pourvois des requérants</w:t>
      </w:r>
      <w:r w:rsidR="00C2770C" w:rsidRPr="00EF6F04">
        <w:rPr>
          <w:lang w:val="fr-FR"/>
        </w:rPr>
        <w:t xml:space="preserve"> pour les mêmes raisons</w:t>
      </w:r>
      <w:r w:rsidRPr="00EF6F04">
        <w:rPr>
          <w:lang w:val="fr-FR"/>
        </w:rPr>
        <w:t>.</w:t>
      </w:r>
    </w:p>
    <w:p w:rsidR="00E77CB3" w:rsidRPr="00EF6F04" w:rsidRDefault="00E77CB3" w:rsidP="00EF6F04">
      <w:pPr>
        <w:pStyle w:val="ECHRHeading1"/>
        <w:rPr>
          <w:lang w:val="fr-FR"/>
        </w:rPr>
      </w:pPr>
      <w:r w:rsidRPr="00EF6F04">
        <w:rPr>
          <w:lang w:val="fr-FR"/>
        </w:rPr>
        <w:t>II.  LE DROIT ET LA PRATIQUE INTERNES PERTINENT</w:t>
      </w:r>
      <w:r w:rsidR="009A4160" w:rsidRPr="00EF6F04">
        <w:rPr>
          <w:lang w:val="fr-FR"/>
        </w:rPr>
        <w:t>S</w:t>
      </w:r>
    </w:p>
    <w:p w:rsidR="005162B8" w:rsidRPr="00EF6F04" w:rsidRDefault="00795CEE" w:rsidP="00EF6F04">
      <w:pPr>
        <w:pStyle w:val="ECHRHeading2"/>
        <w:rPr>
          <w:lang w:val="fr-FR"/>
        </w:rPr>
      </w:pPr>
      <w:r w:rsidRPr="00EF6F04">
        <w:rPr>
          <w:lang w:val="fr-FR"/>
        </w:rPr>
        <w:t>A</w:t>
      </w:r>
      <w:r w:rsidR="005162B8" w:rsidRPr="00EF6F04">
        <w:rPr>
          <w:lang w:val="fr-FR"/>
        </w:rPr>
        <w:t>.  Quant aux obligations des parties à une procédure devant le tribunal administratif régional</w:t>
      </w:r>
    </w:p>
    <w:p w:rsidR="00E16EF2" w:rsidRPr="00EF6F04" w:rsidRDefault="00CE65C8"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11</w:t>
      </w:r>
      <w:r w:rsidRPr="00EF6F04">
        <w:rPr>
          <w:lang w:val="fr-FR"/>
        </w:rPr>
        <w:fldChar w:fldCharType="end"/>
      </w:r>
      <w:r w:rsidRPr="00EF6F04">
        <w:rPr>
          <w:lang w:val="fr-FR"/>
        </w:rPr>
        <w:t>.  </w:t>
      </w:r>
      <w:r w:rsidR="00E16EF2" w:rsidRPr="00EF6F04">
        <w:rPr>
          <w:lang w:val="fr-FR"/>
        </w:rPr>
        <w:t xml:space="preserve">La procédure devant le tribunal administratif régional (TAR) </w:t>
      </w:r>
      <w:r w:rsidR="00A1251D" w:rsidRPr="00EF6F04">
        <w:rPr>
          <w:lang w:val="fr-FR"/>
        </w:rPr>
        <w:t>était</w:t>
      </w:r>
      <w:r w:rsidR="00E16EF2" w:rsidRPr="00EF6F04">
        <w:rPr>
          <w:lang w:val="fr-FR"/>
        </w:rPr>
        <w:t xml:space="preserve"> réglementée</w:t>
      </w:r>
      <w:r w:rsidR="00A1251D" w:rsidRPr="00EF6F04">
        <w:rPr>
          <w:lang w:val="fr-FR"/>
        </w:rPr>
        <w:t>, à l</w:t>
      </w:r>
      <w:r w:rsidR="00EF6F04" w:rsidRPr="00EF6F04">
        <w:rPr>
          <w:lang w:val="fr-FR"/>
        </w:rPr>
        <w:t>’</w:t>
      </w:r>
      <w:r w:rsidR="00A1251D" w:rsidRPr="00EF6F04">
        <w:rPr>
          <w:lang w:val="fr-FR"/>
        </w:rPr>
        <w:t>époque des faits,</w:t>
      </w:r>
      <w:r w:rsidR="00E16EF2" w:rsidRPr="00EF6F04">
        <w:rPr>
          <w:lang w:val="fr-FR"/>
        </w:rPr>
        <w:t xml:space="preserve"> par la loi n</w:t>
      </w:r>
      <w:r w:rsidR="00E16EF2" w:rsidRPr="00EF6F04">
        <w:rPr>
          <w:vertAlign w:val="superscript"/>
          <w:lang w:val="fr-FR"/>
        </w:rPr>
        <w:t>o</w:t>
      </w:r>
      <w:r w:rsidR="00E16EF2" w:rsidRPr="00EF6F04">
        <w:rPr>
          <w:lang w:val="fr-FR"/>
        </w:rPr>
        <w:t> 1034 du 6 décembre 1971. En particulier, l</w:t>
      </w:r>
      <w:r w:rsidR="00EF6F04" w:rsidRPr="00EF6F04">
        <w:rPr>
          <w:lang w:val="fr-FR"/>
        </w:rPr>
        <w:t>’</w:t>
      </w:r>
      <w:r w:rsidR="00E16EF2" w:rsidRPr="00EF6F04">
        <w:rPr>
          <w:lang w:val="fr-FR"/>
        </w:rPr>
        <w:t>article 19, premier alinéa</w:t>
      </w:r>
      <w:r w:rsidR="00753393" w:rsidRPr="00EF6F04">
        <w:rPr>
          <w:lang w:val="fr-FR"/>
        </w:rPr>
        <w:t>,</w:t>
      </w:r>
      <w:r w:rsidR="00E16EF2" w:rsidRPr="00EF6F04">
        <w:rPr>
          <w:lang w:val="fr-FR"/>
        </w:rPr>
        <w:t xml:space="preserve"> dispos</w:t>
      </w:r>
      <w:r w:rsidR="005C5C13" w:rsidRPr="00EF6F04">
        <w:rPr>
          <w:lang w:val="fr-FR"/>
        </w:rPr>
        <w:t>ait</w:t>
      </w:r>
      <w:r w:rsidR="00E16EF2" w:rsidRPr="00EF6F04">
        <w:rPr>
          <w:lang w:val="fr-FR"/>
        </w:rPr>
        <w:t xml:space="preserve"> que : « Dans les affaires devant les tribunaux administratifs régionaux, jusqu</w:t>
      </w:r>
      <w:r w:rsidR="00EF6F04" w:rsidRPr="00EF6F04">
        <w:rPr>
          <w:lang w:val="fr-FR"/>
        </w:rPr>
        <w:t>’</w:t>
      </w:r>
      <w:r w:rsidR="00E16EF2" w:rsidRPr="00EF6F04">
        <w:rPr>
          <w:lang w:val="fr-FR"/>
        </w:rPr>
        <w:t>à l</w:t>
      </w:r>
      <w:r w:rsidR="00EF6F04" w:rsidRPr="00EF6F04">
        <w:rPr>
          <w:lang w:val="fr-FR"/>
        </w:rPr>
        <w:t>’</w:t>
      </w:r>
      <w:r w:rsidR="00E16EF2" w:rsidRPr="00EF6F04">
        <w:rPr>
          <w:lang w:val="fr-FR"/>
        </w:rPr>
        <w:t>adoption d</w:t>
      </w:r>
      <w:r w:rsidR="00EF6F04" w:rsidRPr="00EF6F04">
        <w:rPr>
          <w:lang w:val="fr-FR"/>
        </w:rPr>
        <w:t>’</w:t>
      </w:r>
      <w:r w:rsidR="00E16EF2" w:rsidRPr="00EF6F04">
        <w:rPr>
          <w:lang w:val="fr-FR"/>
        </w:rPr>
        <w:t>une loi spéciale sur la procédure, les règles de procédure des sections juridictionnelles du Conseil d</w:t>
      </w:r>
      <w:r w:rsidR="00EF6F04" w:rsidRPr="00EF6F04">
        <w:rPr>
          <w:lang w:val="fr-FR"/>
        </w:rPr>
        <w:t>’</w:t>
      </w:r>
      <w:r w:rsidR="00E16EF2" w:rsidRPr="00EF6F04">
        <w:rPr>
          <w:lang w:val="fr-FR"/>
        </w:rPr>
        <w:t>État sont observées (...) ».</w:t>
      </w:r>
    </w:p>
    <w:p w:rsidR="00E16EF2" w:rsidRPr="00EF6F04" w:rsidRDefault="00E16EF2"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12</w:t>
      </w:r>
      <w:r w:rsidRPr="00EF6F04">
        <w:rPr>
          <w:lang w:val="fr-FR"/>
        </w:rPr>
        <w:fldChar w:fldCharType="end"/>
      </w:r>
      <w:r w:rsidRPr="00EF6F04">
        <w:rPr>
          <w:lang w:val="fr-FR"/>
        </w:rPr>
        <w:t>.  Selon ces règles de procédures, dans les deux ans de l</w:t>
      </w:r>
      <w:r w:rsidR="00EF6F04" w:rsidRPr="00EF6F04">
        <w:rPr>
          <w:lang w:val="fr-FR"/>
        </w:rPr>
        <w:t>’</w:t>
      </w:r>
      <w:r w:rsidRPr="00EF6F04">
        <w:rPr>
          <w:lang w:val="fr-FR"/>
        </w:rPr>
        <w:t>introduction du recours, la partie requérante d</w:t>
      </w:r>
      <w:r w:rsidR="005C5C13" w:rsidRPr="00EF6F04">
        <w:rPr>
          <w:lang w:val="fr-FR"/>
        </w:rPr>
        <w:t>evait</w:t>
      </w:r>
      <w:r w:rsidRPr="00EF6F04">
        <w:rPr>
          <w:lang w:val="fr-FR"/>
        </w:rPr>
        <w:t xml:space="preserve"> présenter une demande de fixation d</w:t>
      </w:r>
      <w:r w:rsidR="00486A46" w:rsidRPr="00EF6F04">
        <w:rPr>
          <w:lang w:val="fr-FR"/>
        </w:rPr>
        <w:t>e l</w:t>
      </w:r>
      <w:r w:rsidR="00EF6F04" w:rsidRPr="00EF6F04">
        <w:rPr>
          <w:lang w:val="fr-FR"/>
        </w:rPr>
        <w:t>’</w:t>
      </w:r>
      <w:r w:rsidRPr="00EF6F04">
        <w:rPr>
          <w:lang w:val="fr-FR"/>
        </w:rPr>
        <w:t>audience (</w:t>
      </w:r>
      <w:r w:rsidRPr="00EF6F04">
        <w:rPr>
          <w:i/>
          <w:lang w:val="fr-FR"/>
        </w:rPr>
        <w:t>istanza di fissazione</w:t>
      </w:r>
      <w:r w:rsidR="00331E72" w:rsidRPr="00EF6F04">
        <w:rPr>
          <w:i/>
          <w:lang w:val="fr-FR"/>
        </w:rPr>
        <w:t xml:space="preserve"> dell</w:t>
      </w:r>
      <w:r w:rsidR="00EF6F04" w:rsidRPr="00EF6F04">
        <w:rPr>
          <w:i/>
          <w:lang w:val="fr-FR"/>
        </w:rPr>
        <w:t>’</w:t>
      </w:r>
      <w:r w:rsidR="00331E72" w:rsidRPr="00EF6F04">
        <w:rPr>
          <w:i/>
          <w:lang w:val="fr-FR"/>
        </w:rPr>
        <w:t>udienza</w:t>
      </w:r>
      <w:r w:rsidRPr="00EF6F04">
        <w:rPr>
          <w:lang w:val="fr-FR"/>
        </w:rPr>
        <w:t>), sous peine de péremption (Article 40 du décret royal n</w:t>
      </w:r>
      <w:r w:rsidRPr="00EF6F04">
        <w:rPr>
          <w:vertAlign w:val="superscript"/>
          <w:lang w:val="fr-FR"/>
        </w:rPr>
        <w:t>o</w:t>
      </w:r>
      <w:r w:rsidRPr="00EF6F04">
        <w:rPr>
          <w:lang w:val="fr-FR"/>
        </w:rPr>
        <w:t> 1054 du 26 juin 1924). Suite au dépôt de cette demande, le juge saisi a</w:t>
      </w:r>
      <w:r w:rsidR="005C5C13" w:rsidRPr="00EF6F04">
        <w:rPr>
          <w:lang w:val="fr-FR"/>
        </w:rPr>
        <w:t>vait</w:t>
      </w:r>
      <w:r w:rsidRPr="00EF6F04">
        <w:rPr>
          <w:lang w:val="fr-FR"/>
        </w:rPr>
        <w:t xml:space="preserve"> l</w:t>
      </w:r>
      <w:r w:rsidR="00EF6F04" w:rsidRPr="00EF6F04">
        <w:rPr>
          <w:lang w:val="fr-FR"/>
        </w:rPr>
        <w:t>’</w:t>
      </w:r>
      <w:r w:rsidRPr="00EF6F04">
        <w:rPr>
          <w:lang w:val="fr-FR"/>
        </w:rPr>
        <w:t>obligation de fixer l</w:t>
      </w:r>
      <w:r w:rsidR="00EF6F04" w:rsidRPr="00EF6F04">
        <w:rPr>
          <w:lang w:val="fr-FR"/>
        </w:rPr>
        <w:t>’</w:t>
      </w:r>
      <w:r w:rsidRPr="00EF6F04">
        <w:rPr>
          <w:lang w:val="fr-FR"/>
        </w:rPr>
        <w:t>audience. La partie requérante p</w:t>
      </w:r>
      <w:r w:rsidR="005C5C13" w:rsidRPr="00EF6F04">
        <w:rPr>
          <w:lang w:val="fr-FR"/>
        </w:rPr>
        <w:t>ouvait</w:t>
      </w:r>
      <w:r w:rsidRPr="00EF6F04">
        <w:rPr>
          <w:lang w:val="fr-FR"/>
        </w:rPr>
        <w:t xml:space="preserve"> également déposer une demande de fixation en urgence de la date de l</w:t>
      </w:r>
      <w:r w:rsidR="00EF6F04" w:rsidRPr="00EF6F04">
        <w:rPr>
          <w:lang w:val="fr-FR"/>
        </w:rPr>
        <w:t>’</w:t>
      </w:r>
      <w:r w:rsidRPr="00EF6F04">
        <w:rPr>
          <w:lang w:val="fr-FR"/>
        </w:rPr>
        <w:t>audience (</w:t>
      </w:r>
      <w:r w:rsidRPr="00EF6F04">
        <w:rPr>
          <w:i/>
          <w:lang w:val="fr-FR"/>
        </w:rPr>
        <w:t>istanza di prelievo</w:t>
      </w:r>
      <w:r w:rsidRPr="00EF6F04">
        <w:rPr>
          <w:lang w:val="fr-FR"/>
        </w:rPr>
        <w:t>). Dans ce cas, le juge a</w:t>
      </w:r>
      <w:r w:rsidR="005C5C13" w:rsidRPr="00EF6F04">
        <w:rPr>
          <w:lang w:val="fr-FR"/>
        </w:rPr>
        <w:t>vait</w:t>
      </w:r>
      <w:r w:rsidRPr="00EF6F04">
        <w:rPr>
          <w:lang w:val="fr-FR"/>
        </w:rPr>
        <w:t xml:space="preserve"> la </w:t>
      </w:r>
      <w:r w:rsidRPr="00EF6F04">
        <w:rPr>
          <w:lang w:val="fr-FR"/>
        </w:rPr>
        <w:lastRenderedPageBreak/>
        <w:t>faculté d</w:t>
      </w:r>
      <w:r w:rsidR="00EF6F04" w:rsidRPr="00EF6F04">
        <w:rPr>
          <w:lang w:val="fr-FR"/>
        </w:rPr>
        <w:t>’</w:t>
      </w:r>
      <w:r w:rsidRPr="00EF6F04">
        <w:rPr>
          <w:lang w:val="fr-FR"/>
        </w:rPr>
        <w:t>accorder la priorité au recours, anticipant la date de l</w:t>
      </w:r>
      <w:r w:rsidR="00EF6F04" w:rsidRPr="00EF6F04">
        <w:rPr>
          <w:lang w:val="fr-FR"/>
        </w:rPr>
        <w:t>’</w:t>
      </w:r>
      <w:r w:rsidRPr="00EF6F04">
        <w:rPr>
          <w:lang w:val="fr-FR"/>
        </w:rPr>
        <w:t>audience (article 51 du décret royal n</w:t>
      </w:r>
      <w:r w:rsidRPr="00EF6F04">
        <w:rPr>
          <w:vertAlign w:val="superscript"/>
          <w:lang w:val="fr-FR"/>
        </w:rPr>
        <w:t>o</w:t>
      </w:r>
      <w:r w:rsidRPr="00EF6F04">
        <w:rPr>
          <w:lang w:val="fr-FR"/>
        </w:rPr>
        <w:t> 642 du 17 août 1907).</w:t>
      </w:r>
    </w:p>
    <w:p w:rsidR="00E16EF2" w:rsidRPr="00EF6F04" w:rsidRDefault="00E16EF2"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13</w:t>
      </w:r>
      <w:r w:rsidRPr="00EF6F04">
        <w:rPr>
          <w:lang w:val="fr-FR"/>
        </w:rPr>
        <w:fldChar w:fldCharType="end"/>
      </w:r>
      <w:r w:rsidRPr="00EF6F04">
        <w:rPr>
          <w:lang w:val="fr-FR"/>
        </w:rPr>
        <w:t xml:space="preserve">.  Pour les recours pendants de plus de dix ans, </w:t>
      </w:r>
      <w:r w:rsidR="00331E72" w:rsidRPr="00EF6F04">
        <w:rPr>
          <w:lang w:val="fr-FR"/>
        </w:rPr>
        <w:t>le greffe du tribunal administratif régional devait notifier aux parties un avis portant sur l</w:t>
      </w:r>
      <w:r w:rsidR="00EF6F04" w:rsidRPr="00EF6F04">
        <w:rPr>
          <w:lang w:val="fr-FR"/>
        </w:rPr>
        <w:t>’</w:t>
      </w:r>
      <w:r w:rsidR="00331E72" w:rsidRPr="00EF6F04">
        <w:rPr>
          <w:lang w:val="fr-FR"/>
        </w:rPr>
        <w:t>obligation de</w:t>
      </w:r>
      <w:r w:rsidRPr="00EF6F04">
        <w:rPr>
          <w:lang w:val="fr-FR"/>
        </w:rPr>
        <w:t xml:space="preserve"> déposer une nouvelle demande de fixation de l</w:t>
      </w:r>
      <w:r w:rsidR="00EF6F04" w:rsidRPr="00EF6F04">
        <w:rPr>
          <w:lang w:val="fr-FR"/>
        </w:rPr>
        <w:t>’</w:t>
      </w:r>
      <w:r w:rsidR="00331E72" w:rsidRPr="00EF6F04">
        <w:rPr>
          <w:lang w:val="fr-FR"/>
        </w:rPr>
        <w:t>audience afin d</w:t>
      </w:r>
      <w:r w:rsidR="00EF6F04" w:rsidRPr="00EF6F04">
        <w:rPr>
          <w:lang w:val="fr-FR"/>
        </w:rPr>
        <w:t>’</w:t>
      </w:r>
      <w:r w:rsidR="00331E72" w:rsidRPr="00EF6F04">
        <w:rPr>
          <w:lang w:val="fr-FR"/>
        </w:rPr>
        <w:t>éviter</w:t>
      </w:r>
      <w:r w:rsidRPr="00EF6F04">
        <w:rPr>
          <w:lang w:val="fr-FR"/>
        </w:rPr>
        <w:t xml:space="preserve"> </w:t>
      </w:r>
      <w:r w:rsidR="00331E72" w:rsidRPr="00EF6F04">
        <w:rPr>
          <w:lang w:val="fr-FR"/>
        </w:rPr>
        <w:t>la</w:t>
      </w:r>
      <w:r w:rsidRPr="00EF6F04">
        <w:rPr>
          <w:lang w:val="fr-FR"/>
        </w:rPr>
        <w:t xml:space="preserve"> péremption</w:t>
      </w:r>
      <w:r w:rsidR="00331E72" w:rsidRPr="00EF6F04">
        <w:rPr>
          <w:lang w:val="fr-FR"/>
        </w:rPr>
        <w:t xml:space="preserve"> de l</w:t>
      </w:r>
      <w:r w:rsidR="00EF6F04" w:rsidRPr="00EF6F04">
        <w:rPr>
          <w:lang w:val="fr-FR"/>
        </w:rPr>
        <w:t>’</w:t>
      </w:r>
      <w:r w:rsidR="00331E72" w:rsidRPr="00EF6F04">
        <w:rPr>
          <w:lang w:val="fr-FR"/>
        </w:rPr>
        <w:t>affaire</w:t>
      </w:r>
      <w:r w:rsidRPr="00EF6F04">
        <w:rPr>
          <w:lang w:val="fr-FR"/>
        </w:rPr>
        <w:t xml:space="preserve"> (Article 9 de la loi n</w:t>
      </w:r>
      <w:r w:rsidRPr="00EF6F04">
        <w:rPr>
          <w:vertAlign w:val="superscript"/>
          <w:lang w:val="fr-FR"/>
        </w:rPr>
        <w:t>o</w:t>
      </w:r>
      <w:r w:rsidR="006F687A" w:rsidRPr="00EF6F04">
        <w:rPr>
          <w:lang w:val="fr-FR"/>
        </w:rPr>
        <w:t> </w:t>
      </w:r>
      <w:r w:rsidR="00AF5649" w:rsidRPr="00EF6F04">
        <w:rPr>
          <w:lang w:val="fr-FR"/>
        </w:rPr>
        <w:t xml:space="preserve">205 du 21 juillet </w:t>
      </w:r>
      <w:r w:rsidRPr="00EF6F04">
        <w:rPr>
          <w:lang w:val="fr-FR"/>
        </w:rPr>
        <w:t>2000).</w:t>
      </w:r>
    </w:p>
    <w:p w:rsidR="00E16EF2" w:rsidRPr="00EF6F04" w:rsidRDefault="00E16EF2"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14</w:t>
      </w:r>
      <w:r w:rsidRPr="00EF6F04">
        <w:rPr>
          <w:lang w:val="fr-FR"/>
        </w:rPr>
        <w:fldChar w:fldCharType="end"/>
      </w:r>
      <w:r w:rsidRPr="00EF6F04">
        <w:rPr>
          <w:lang w:val="fr-FR"/>
        </w:rPr>
        <w:t>.  L</w:t>
      </w:r>
      <w:r w:rsidR="00EF6F04" w:rsidRPr="00EF6F04">
        <w:rPr>
          <w:lang w:val="fr-FR"/>
        </w:rPr>
        <w:t>’</w:t>
      </w:r>
      <w:r w:rsidRPr="00EF6F04">
        <w:rPr>
          <w:lang w:val="fr-FR"/>
        </w:rPr>
        <w:t>Assemblée plénière de la Cour de cassation a statué, dans son arrêt n</w:t>
      </w:r>
      <w:r w:rsidRPr="00EF6F04">
        <w:rPr>
          <w:vertAlign w:val="superscript"/>
          <w:lang w:val="fr-FR"/>
        </w:rPr>
        <w:t>o</w:t>
      </w:r>
      <w:r w:rsidR="006F687A" w:rsidRPr="00EF6F04">
        <w:rPr>
          <w:lang w:val="fr-FR"/>
        </w:rPr>
        <w:t> </w:t>
      </w:r>
      <w:r w:rsidRPr="00EF6F04">
        <w:rPr>
          <w:lang w:val="fr-FR"/>
        </w:rPr>
        <w:t>28507/05 du 15 décembre 2005, que :</w:t>
      </w:r>
    </w:p>
    <w:p w:rsidR="00E16EF2" w:rsidRPr="00EF6F04" w:rsidRDefault="00AF5649" w:rsidP="00EF6F04">
      <w:pPr>
        <w:pStyle w:val="ECHRParaQuote"/>
        <w:rPr>
          <w:lang w:val="fr-FR"/>
        </w:rPr>
      </w:pPr>
      <w:r w:rsidRPr="00EF6F04">
        <w:rPr>
          <w:lang w:val="fr-FR"/>
        </w:rPr>
        <w:t>« </w:t>
      </w:r>
      <w:r w:rsidR="00E16EF2" w:rsidRPr="00EF6F04">
        <w:rPr>
          <w:lang w:val="fr-FR"/>
        </w:rPr>
        <w:t>(...) dans le système en vigueur avant la loi 205/2000 (...) le procès administratif ne mettait à la charge de la partie requérante, après le dépôt du recours, que (...) la présentation, dans un délai de deux ans à partir du dépôt du recours (...), d</w:t>
      </w:r>
      <w:r w:rsidR="00EF6F04" w:rsidRPr="00EF6F04">
        <w:rPr>
          <w:lang w:val="fr-FR"/>
        </w:rPr>
        <w:t>’</w:t>
      </w:r>
      <w:r w:rsidR="00E16EF2" w:rsidRPr="00EF6F04">
        <w:rPr>
          <w:lang w:val="fr-FR"/>
        </w:rPr>
        <w:t>une demande tendant à la fixation de l</w:t>
      </w:r>
      <w:r w:rsidR="00EF6F04" w:rsidRPr="00EF6F04">
        <w:rPr>
          <w:lang w:val="fr-FR"/>
        </w:rPr>
        <w:t>’</w:t>
      </w:r>
      <w:r w:rsidR="00E16EF2" w:rsidRPr="00EF6F04">
        <w:rPr>
          <w:lang w:val="fr-FR"/>
        </w:rPr>
        <w:t>audience ; suite au dépôt de cette demande, le déroulement du procès était soumis au pouvoir d</w:t>
      </w:r>
      <w:r w:rsidR="00EF6F04" w:rsidRPr="00EF6F04">
        <w:rPr>
          <w:lang w:val="fr-FR"/>
        </w:rPr>
        <w:t>’</w:t>
      </w:r>
      <w:r w:rsidR="00E16EF2" w:rsidRPr="00EF6F04">
        <w:rPr>
          <w:lang w:val="fr-FR"/>
        </w:rPr>
        <w:t>initiative du juge. Par conséquent, le dépôt de la demande prévue par l</w:t>
      </w:r>
      <w:r w:rsidR="00EF6F04" w:rsidRPr="00EF6F04">
        <w:rPr>
          <w:lang w:val="fr-FR"/>
        </w:rPr>
        <w:t>’</w:t>
      </w:r>
      <w:r w:rsidR="00E16EF2" w:rsidRPr="00EF6F04">
        <w:rPr>
          <w:lang w:val="fr-FR"/>
        </w:rPr>
        <w:t>article 54, deuxième alinéa, du décret royal n</w:t>
      </w:r>
      <w:r w:rsidR="00E16EF2" w:rsidRPr="00EF6F04">
        <w:rPr>
          <w:vertAlign w:val="superscript"/>
          <w:lang w:val="fr-FR"/>
        </w:rPr>
        <w:t>o</w:t>
      </w:r>
      <w:r w:rsidR="00331E72" w:rsidRPr="00EF6F04">
        <w:rPr>
          <w:vertAlign w:val="superscript"/>
          <w:lang w:val="fr-FR"/>
        </w:rPr>
        <w:noBreakHyphen/>
      </w:r>
      <w:r w:rsidR="00E16EF2" w:rsidRPr="00EF6F04">
        <w:rPr>
          <w:lang w:val="fr-FR"/>
        </w:rPr>
        <w:t>642/1907 (</w:t>
      </w:r>
      <w:r w:rsidR="00E16EF2" w:rsidRPr="00EF6F04">
        <w:rPr>
          <w:i/>
          <w:lang w:val="fr-FR"/>
        </w:rPr>
        <w:t>istanza di prelievo</w:t>
      </w:r>
      <w:r w:rsidR="00E16EF2" w:rsidRPr="00EF6F04">
        <w:rPr>
          <w:lang w:val="fr-FR"/>
        </w:rPr>
        <w:t>), ne constitue pas une obligation de faire, son but exclusif étant celui de signaler l</w:t>
      </w:r>
      <w:r w:rsidR="00EF6F04" w:rsidRPr="00EF6F04">
        <w:rPr>
          <w:lang w:val="fr-FR"/>
        </w:rPr>
        <w:t>’</w:t>
      </w:r>
      <w:r w:rsidR="00E16EF2" w:rsidRPr="00EF6F04">
        <w:rPr>
          <w:lang w:val="fr-FR"/>
        </w:rPr>
        <w:t>urgence du recours afin d</w:t>
      </w:r>
      <w:r w:rsidR="00EF6F04" w:rsidRPr="00EF6F04">
        <w:rPr>
          <w:lang w:val="fr-FR"/>
        </w:rPr>
        <w:t>’</w:t>
      </w:r>
      <w:r w:rsidR="00E16EF2" w:rsidRPr="00EF6F04">
        <w:rPr>
          <w:lang w:val="fr-FR"/>
        </w:rPr>
        <w:t>en obtenir l</w:t>
      </w:r>
      <w:r w:rsidR="00EF6F04" w:rsidRPr="00EF6F04">
        <w:rPr>
          <w:lang w:val="fr-FR"/>
        </w:rPr>
        <w:t>’</w:t>
      </w:r>
      <w:r w:rsidR="00E16EF2" w:rsidRPr="00EF6F04">
        <w:rPr>
          <w:lang w:val="fr-FR"/>
        </w:rPr>
        <w:t>examen anticipé, renversant l</w:t>
      </w:r>
      <w:r w:rsidR="00EF6F04" w:rsidRPr="00EF6F04">
        <w:rPr>
          <w:lang w:val="fr-FR"/>
        </w:rPr>
        <w:t>’</w:t>
      </w:r>
      <w:r w:rsidR="00E16EF2" w:rsidRPr="00EF6F04">
        <w:rPr>
          <w:lang w:val="fr-FR"/>
        </w:rPr>
        <w:t>ordre chronologique d</w:t>
      </w:r>
      <w:r w:rsidR="00EF6F04" w:rsidRPr="00EF6F04">
        <w:rPr>
          <w:lang w:val="fr-FR"/>
        </w:rPr>
        <w:t>’</w:t>
      </w:r>
      <w:r w:rsidR="00E16EF2" w:rsidRPr="00EF6F04">
        <w:rPr>
          <w:lang w:val="fr-FR"/>
        </w:rPr>
        <w:t>inscription au rôle des demandes de fixation de l</w:t>
      </w:r>
      <w:r w:rsidR="00EF6F04" w:rsidRPr="00EF6F04">
        <w:rPr>
          <w:lang w:val="fr-FR"/>
        </w:rPr>
        <w:t>’</w:t>
      </w:r>
      <w:r w:rsidRPr="00EF6F04">
        <w:rPr>
          <w:lang w:val="fr-FR"/>
        </w:rPr>
        <w:t>audience (...)</w:t>
      </w:r>
      <w:r w:rsidR="00E16EF2" w:rsidRPr="00EF6F04">
        <w:rPr>
          <w:lang w:val="fr-FR"/>
        </w:rPr>
        <w:t> »</w:t>
      </w:r>
    </w:p>
    <w:p w:rsidR="00A1251D" w:rsidRPr="00EF6F04" w:rsidRDefault="00A1251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15</w:t>
      </w:r>
      <w:r w:rsidRPr="00EF6F04">
        <w:rPr>
          <w:lang w:val="fr-FR"/>
        </w:rPr>
        <w:fldChar w:fldCharType="end"/>
      </w:r>
      <w:r w:rsidRPr="00EF6F04">
        <w:rPr>
          <w:lang w:val="fr-FR"/>
        </w:rPr>
        <w:t>.  Pour ce qui est de l</w:t>
      </w:r>
      <w:r w:rsidR="00EF6F04" w:rsidRPr="00EF6F04">
        <w:rPr>
          <w:lang w:val="fr-FR"/>
        </w:rPr>
        <w:t>’</w:t>
      </w:r>
      <w:r w:rsidRPr="00EF6F04">
        <w:rPr>
          <w:lang w:val="fr-FR"/>
        </w:rPr>
        <w:t>obligation de présenter une demande de fixation de l</w:t>
      </w:r>
      <w:r w:rsidR="00EF6F04" w:rsidRPr="00EF6F04">
        <w:rPr>
          <w:lang w:val="fr-FR"/>
        </w:rPr>
        <w:t>’</w:t>
      </w:r>
      <w:r w:rsidRPr="00EF6F04">
        <w:rPr>
          <w:lang w:val="fr-FR"/>
        </w:rPr>
        <w:t>audience (</w:t>
      </w:r>
      <w:r w:rsidRPr="00EF6F04">
        <w:rPr>
          <w:i/>
          <w:lang w:val="fr-FR"/>
        </w:rPr>
        <w:t>istanza di fissazione</w:t>
      </w:r>
      <w:r w:rsidR="00331E72" w:rsidRPr="00EF6F04">
        <w:rPr>
          <w:i/>
          <w:lang w:val="fr-FR"/>
        </w:rPr>
        <w:t xml:space="preserve"> dell</w:t>
      </w:r>
      <w:r w:rsidR="00EF6F04" w:rsidRPr="00EF6F04">
        <w:rPr>
          <w:i/>
          <w:lang w:val="fr-FR"/>
        </w:rPr>
        <w:t>’</w:t>
      </w:r>
      <w:r w:rsidR="00331E72" w:rsidRPr="00EF6F04">
        <w:rPr>
          <w:i/>
          <w:lang w:val="fr-FR"/>
        </w:rPr>
        <w:t>udienza</w:t>
      </w:r>
      <w:r w:rsidRPr="00EF6F04">
        <w:rPr>
          <w:lang w:val="fr-FR"/>
        </w:rPr>
        <w:t>), l</w:t>
      </w:r>
      <w:r w:rsidR="00EF6F04" w:rsidRPr="00EF6F04">
        <w:rPr>
          <w:lang w:val="fr-FR"/>
        </w:rPr>
        <w:t>’</w:t>
      </w:r>
      <w:r w:rsidRPr="00EF6F04">
        <w:rPr>
          <w:lang w:val="fr-FR"/>
        </w:rPr>
        <w:t>article 9, alinéa 2</w:t>
      </w:r>
      <w:r w:rsidR="00E656A3" w:rsidRPr="00EF6F04">
        <w:rPr>
          <w:lang w:val="fr-FR"/>
        </w:rPr>
        <w:t>,</w:t>
      </w:r>
      <w:r w:rsidRPr="00EF6F04">
        <w:rPr>
          <w:lang w:val="fr-FR"/>
        </w:rPr>
        <w:t xml:space="preserve"> de la loi n</w:t>
      </w:r>
      <w:r w:rsidRPr="00EF6F04">
        <w:rPr>
          <w:vertAlign w:val="superscript"/>
          <w:lang w:val="fr-FR"/>
        </w:rPr>
        <w:t>o</w:t>
      </w:r>
      <w:r w:rsidR="00CE65C8" w:rsidRPr="00EF6F04">
        <w:rPr>
          <w:lang w:val="fr-FR"/>
        </w:rPr>
        <w:t xml:space="preserve"> </w:t>
      </w:r>
      <w:r w:rsidRPr="00EF6F04">
        <w:rPr>
          <w:lang w:val="fr-FR"/>
        </w:rPr>
        <w:t>205/2000 prévoit que :</w:t>
      </w:r>
    </w:p>
    <w:p w:rsidR="00A1251D" w:rsidRPr="00EF6F04" w:rsidRDefault="00A1251D" w:rsidP="00EF6F04">
      <w:pPr>
        <w:pStyle w:val="ECHRParaQuote"/>
        <w:rPr>
          <w:lang w:val="fr-FR"/>
        </w:rPr>
      </w:pPr>
      <w:r w:rsidRPr="00EF6F04">
        <w:rPr>
          <w:lang w:val="fr-FR"/>
        </w:rPr>
        <w:t>« (...) 2. Il incombe au Greffe de notifier aux parties constituées, après dix ans de la date d</w:t>
      </w:r>
      <w:r w:rsidR="00EF6F04" w:rsidRPr="00EF6F04">
        <w:rPr>
          <w:lang w:val="fr-FR"/>
        </w:rPr>
        <w:t>’</w:t>
      </w:r>
      <w:r w:rsidRPr="00EF6F04">
        <w:rPr>
          <w:lang w:val="fr-FR"/>
        </w:rPr>
        <w:t>introduction des recours, un avis portant sur l</w:t>
      </w:r>
      <w:r w:rsidR="00EF6F04" w:rsidRPr="00EF6F04">
        <w:rPr>
          <w:lang w:val="fr-FR"/>
        </w:rPr>
        <w:t>’</w:t>
      </w:r>
      <w:r w:rsidRPr="00EF6F04">
        <w:rPr>
          <w:lang w:val="fr-FR"/>
        </w:rPr>
        <w:t>obligation des parties demanderesses de présenter une nouvelle demande de fixation de l</w:t>
      </w:r>
      <w:r w:rsidR="00EF6F04" w:rsidRPr="00EF6F04">
        <w:rPr>
          <w:lang w:val="fr-FR"/>
        </w:rPr>
        <w:t>’</w:t>
      </w:r>
      <w:r w:rsidRPr="00EF6F04">
        <w:rPr>
          <w:lang w:val="fr-FR"/>
        </w:rPr>
        <w:t>audience (</w:t>
      </w:r>
      <w:r w:rsidRPr="00EF6F04">
        <w:rPr>
          <w:i/>
          <w:lang w:val="fr-FR"/>
        </w:rPr>
        <w:t>istanza di fissazione</w:t>
      </w:r>
      <w:r w:rsidR="00331E72" w:rsidRPr="00EF6F04">
        <w:rPr>
          <w:i/>
          <w:lang w:val="fr-FR"/>
        </w:rPr>
        <w:t xml:space="preserve"> dell</w:t>
      </w:r>
      <w:r w:rsidR="00EF6F04" w:rsidRPr="00EF6F04">
        <w:rPr>
          <w:i/>
          <w:lang w:val="fr-FR"/>
        </w:rPr>
        <w:t>’</w:t>
      </w:r>
      <w:r w:rsidR="00331E72" w:rsidRPr="00EF6F04">
        <w:rPr>
          <w:i/>
          <w:lang w:val="fr-FR"/>
        </w:rPr>
        <w:t>udienza</w:t>
      </w:r>
      <w:r w:rsidRPr="00EF6F04">
        <w:rPr>
          <w:lang w:val="fr-FR"/>
        </w:rPr>
        <w:t>) avec la signature des parties dans un délai de six mois à partir de la date de notification du même avis. Les recours pour lesquels la nouvelle demande de fixation de l</w:t>
      </w:r>
      <w:r w:rsidR="00EF6F04" w:rsidRPr="00EF6F04">
        <w:rPr>
          <w:lang w:val="fr-FR"/>
        </w:rPr>
        <w:t>’</w:t>
      </w:r>
      <w:r w:rsidRPr="00EF6F04">
        <w:rPr>
          <w:lang w:val="fr-FR"/>
        </w:rPr>
        <w:t>audience n</w:t>
      </w:r>
      <w:r w:rsidR="00EF6F04" w:rsidRPr="00EF6F04">
        <w:rPr>
          <w:lang w:val="fr-FR"/>
        </w:rPr>
        <w:t>’</w:t>
      </w:r>
      <w:r w:rsidRPr="00EF6F04">
        <w:rPr>
          <w:lang w:val="fr-FR"/>
        </w:rPr>
        <w:t>a pas été présentée, à l</w:t>
      </w:r>
      <w:r w:rsidR="00EF6F04" w:rsidRPr="00EF6F04">
        <w:rPr>
          <w:lang w:val="fr-FR"/>
        </w:rPr>
        <w:t>’</w:t>
      </w:r>
      <w:r w:rsidRPr="00EF6F04">
        <w:rPr>
          <w:lang w:val="fr-FR"/>
        </w:rPr>
        <w:t>expiration du délai indiqué, se heurtent à la péremption prévue à l</w:t>
      </w:r>
      <w:r w:rsidR="00EF6F04" w:rsidRPr="00EF6F04">
        <w:rPr>
          <w:lang w:val="fr-FR"/>
        </w:rPr>
        <w:t>’</w:t>
      </w:r>
      <w:r w:rsidRPr="00EF6F04">
        <w:rPr>
          <w:lang w:val="fr-FR"/>
        </w:rPr>
        <w:t>article 26, dernier alinéa, de la loi n</w:t>
      </w:r>
      <w:r w:rsidRPr="00EF6F04">
        <w:rPr>
          <w:vertAlign w:val="superscript"/>
          <w:lang w:val="fr-FR"/>
        </w:rPr>
        <w:t>o</w:t>
      </w:r>
      <w:r w:rsidR="00BE0811" w:rsidRPr="00EF6F04">
        <w:rPr>
          <w:lang w:val="fr-FR"/>
        </w:rPr>
        <w:t> </w:t>
      </w:r>
      <w:r w:rsidRPr="00EF6F04">
        <w:rPr>
          <w:lang w:val="fr-FR"/>
        </w:rPr>
        <w:t>1034 du 6 décembre 1971, introduit par l</w:t>
      </w:r>
      <w:r w:rsidR="00EF6F04" w:rsidRPr="00EF6F04">
        <w:rPr>
          <w:lang w:val="fr-FR"/>
        </w:rPr>
        <w:t>’</w:t>
      </w:r>
      <w:r w:rsidRPr="00EF6F04">
        <w:rPr>
          <w:lang w:val="fr-FR"/>
        </w:rPr>
        <w:t>alinéa 1 du présent article</w:t>
      </w:r>
      <w:r w:rsidR="00753393" w:rsidRPr="00EF6F04">
        <w:rPr>
          <w:lang w:val="fr-FR"/>
        </w:rPr>
        <w:t>.</w:t>
      </w:r>
      <w:r w:rsidRPr="00EF6F04">
        <w:rPr>
          <w:lang w:val="fr-FR"/>
        </w:rPr>
        <w:t> »</w:t>
      </w:r>
    </w:p>
    <w:p w:rsidR="00E16EF2" w:rsidRPr="00EF6F04" w:rsidRDefault="00795CEE" w:rsidP="00EF6F04">
      <w:pPr>
        <w:pStyle w:val="ECHRHeading2"/>
        <w:rPr>
          <w:lang w:val="fr-FR"/>
        </w:rPr>
      </w:pPr>
      <w:r w:rsidRPr="00EF6F04">
        <w:rPr>
          <w:lang w:val="fr-FR"/>
        </w:rPr>
        <w:t>B</w:t>
      </w:r>
      <w:r w:rsidR="00E16EF2" w:rsidRPr="00EF6F04">
        <w:rPr>
          <w:lang w:val="fr-FR"/>
        </w:rPr>
        <w:t>.  Quant à la satisfaction équitable pour violation du droit à une durée raisonnable du procès administratif</w:t>
      </w:r>
    </w:p>
    <w:p w:rsidR="00E16EF2" w:rsidRPr="00EF6F04" w:rsidRDefault="00E16EF2"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16</w:t>
      </w:r>
      <w:r w:rsidRPr="00EF6F04">
        <w:rPr>
          <w:lang w:val="fr-FR"/>
        </w:rPr>
        <w:fldChar w:fldCharType="end"/>
      </w:r>
      <w:r w:rsidRPr="00EF6F04">
        <w:rPr>
          <w:lang w:val="fr-FR"/>
        </w:rPr>
        <w:t>.  Le droit et la pratique internes pertinents relatifs, en général, à la loi n</w:t>
      </w:r>
      <w:r w:rsidRPr="00EF6F04">
        <w:rPr>
          <w:vertAlign w:val="superscript"/>
          <w:lang w:val="fr-FR"/>
        </w:rPr>
        <w:t>o</w:t>
      </w:r>
      <w:r w:rsidRPr="00EF6F04">
        <w:rPr>
          <w:lang w:val="fr-FR"/>
        </w:rPr>
        <w:t xml:space="preserve"> 89 du 24 mars 2001, dite «</w:t>
      </w:r>
      <w:r w:rsidR="005C5C13" w:rsidRPr="00EF6F04">
        <w:rPr>
          <w:lang w:val="fr-FR"/>
        </w:rPr>
        <w:t xml:space="preserve">la </w:t>
      </w:r>
      <w:r w:rsidRPr="00EF6F04">
        <w:rPr>
          <w:lang w:val="fr-FR"/>
        </w:rPr>
        <w:t>loi Pinto », figurent dans l</w:t>
      </w:r>
      <w:r w:rsidR="00EF6F04" w:rsidRPr="00EF6F04">
        <w:rPr>
          <w:lang w:val="fr-FR"/>
        </w:rPr>
        <w:t>’</w:t>
      </w:r>
      <w:r w:rsidRPr="00EF6F04">
        <w:rPr>
          <w:lang w:val="fr-FR"/>
        </w:rPr>
        <w:t xml:space="preserve">arrêt </w:t>
      </w:r>
      <w:r w:rsidRPr="00EF6F04">
        <w:rPr>
          <w:i/>
          <w:lang w:val="fr-FR"/>
        </w:rPr>
        <w:t>Cocchiarella c. Italie</w:t>
      </w:r>
      <w:r w:rsidRPr="00EF6F04">
        <w:rPr>
          <w:lang w:val="fr-FR"/>
        </w:rPr>
        <w:t xml:space="preserve"> ([GC], n</w:t>
      </w:r>
      <w:r w:rsidRPr="00EF6F04">
        <w:rPr>
          <w:vertAlign w:val="superscript"/>
          <w:lang w:val="fr-FR"/>
        </w:rPr>
        <w:t>o</w:t>
      </w:r>
      <w:r w:rsidRPr="00EF6F04">
        <w:rPr>
          <w:lang w:val="fr-FR"/>
        </w:rPr>
        <w:t xml:space="preserve"> 64886/01, §§ 23-31, CEDH 2006-V).</w:t>
      </w:r>
    </w:p>
    <w:p w:rsidR="00E16EF2" w:rsidRPr="00EF6F04" w:rsidRDefault="00E16EF2"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17</w:t>
      </w:r>
      <w:r w:rsidRPr="00EF6F04">
        <w:rPr>
          <w:lang w:val="fr-FR"/>
        </w:rPr>
        <w:fldChar w:fldCharType="end"/>
      </w:r>
      <w:r w:rsidRPr="00EF6F04">
        <w:rPr>
          <w:lang w:val="fr-FR"/>
        </w:rPr>
        <w:t xml:space="preserve">.  En ce qui concerne </w:t>
      </w:r>
      <w:r w:rsidR="00E25B4A" w:rsidRPr="00EF6F04">
        <w:rPr>
          <w:lang w:val="fr-FR"/>
        </w:rPr>
        <w:t xml:space="preserve">son </w:t>
      </w:r>
      <w:r w:rsidRPr="00EF6F04">
        <w:rPr>
          <w:lang w:val="fr-FR"/>
        </w:rPr>
        <w:t>application à la durée des proc</w:t>
      </w:r>
      <w:r w:rsidR="00753393" w:rsidRPr="00EF6F04">
        <w:rPr>
          <w:lang w:val="fr-FR"/>
        </w:rPr>
        <w:t>édures juridictionnelles</w:t>
      </w:r>
      <w:r w:rsidR="005C5C13" w:rsidRPr="00EF6F04">
        <w:rPr>
          <w:lang w:val="fr-FR"/>
        </w:rPr>
        <w:t xml:space="preserve"> </w:t>
      </w:r>
      <w:r w:rsidRPr="00EF6F04">
        <w:rPr>
          <w:lang w:val="fr-FR"/>
        </w:rPr>
        <w:t>administrati</w:t>
      </w:r>
      <w:r w:rsidR="00753393" w:rsidRPr="00EF6F04">
        <w:rPr>
          <w:lang w:val="fr-FR"/>
        </w:rPr>
        <w:t>ve</w:t>
      </w:r>
      <w:r w:rsidRPr="00EF6F04">
        <w:rPr>
          <w:lang w:val="fr-FR"/>
        </w:rPr>
        <w:t>s, l</w:t>
      </w:r>
      <w:r w:rsidR="00EF6F04" w:rsidRPr="00EF6F04">
        <w:rPr>
          <w:lang w:val="fr-FR"/>
        </w:rPr>
        <w:t>’</w:t>
      </w:r>
      <w:r w:rsidRPr="00EF6F04">
        <w:rPr>
          <w:lang w:val="fr-FR"/>
        </w:rPr>
        <w:t>Assemblée plénière de la Cour de cassation, dans l</w:t>
      </w:r>
      <w:r w:rsidR="00EF6F04" w:rsidRPr="00EF6F04">
        <w:rPr>
          <w:lang w:val="fr-FR"/>
        </w:rPr>
        <w:t>’</w:t>
      </w:r>
      <w:r w:rsidRPr="00EF6F04">
        <w:rPr>
          <w:lang w:val="fr-FR"/>
        </w:rPr>
        <w:t>arrêt n</w:t>
      </w:r>
      <w:r w:rsidRPr="00EF6F04">
        <w:rPr>
          <w:vertAlign w:val="superscript"/>
          <w:lang w:val="fr-FR"/>
        </w:rPr>
        <w:t>o</w:t>
      </w:r>
      <w:r w:rsidR="00BE0811" w:rsidRPr="00EF6F04">
        <w:rPr>
          <w:lang w:val="fr-FR"/>
        </w:rPr>
        <w:t> </w:t>
      </w:r>
      <w:r w:rsidRPr="00EF6F04">
        <w:rPr>
          <w:lang w:val="fr-FR"/>
        </w:rPr>
        <w:t>28507/05, avait statué que :</w:t>
      </w:r>
    </w:p>
    <w:p w:rsidR="00E16EF2" w:rsidRPr="00EF6F04" w:rsidRDefault="00AF5649" w:rsidP="00EF6F04">
      <w:pPr>
        <w:pStyle w:val="ECHRParaQuote"/>
        <w:rPr>
          <w:lang w:val="fr-FR"/>
        </w:rPr>
      </w:pPr>
      <w:r w:rsidRPr="00EF6F04">
        <w:rPr>
          <w:lang w:val="fr-FR"/>
        </w:rPr>
        <w:t>« </w:t>
      </w:r>
      <w:r w:rsidR="00E16EF2" w:rsidRPr="00EF6F04">
        <w:rPr>
          <w:lang w:val="fr-FR"/>
        </w:rPr>
        <w:t>(...) conformément à l</w:t>
      </w:r>
      <w:r w:rsidR="00EF6F04" w:rsidRPr="00EF6F04">
        <w:rPr>
          <w:lang w:val="fr-FR"/>
        </w:rPr>
        <w:t>’</w:t>
      </w:r>
      <w:r w:rsidR="00E16EF2" w:rsidRPr="00EF6F04">
        <w:rPr>
          <w:lang w:val="fr-FR"/>
        </w:rPr>
        <w:t>approche exprimée à maintes reprises dans la jurisprudence de la Cour de Strasbourg, [la Cour de cassation] est déjà revenue sur l</w:t>
      </w:r>
      <w:r w:rsidR="00EF6F04" w:rsidRPr="00EF6F04">
        <w:rPr>
          <w:lang w:val="fr-FR"/>
        </w:rPr>
        <w:t>’</w:t>
      </w:r>
      <w:r w:rsidR="00E16EF2" w:rsidRPr="00EF6F04">
        <w:rPr>
          <w:lang w:val="fr-FR"/>
        </w:rPr>
        <w:t>interprétation jusqu</w:t>
      </w:r>
      <w:r w:rsidR="00EF6F04" w:rsidRPr="00EF6F04">
        <w:rPr>
          <w:lang w:val="fr-FR"/>
        </w:rPr>
        <w:t>’</w:t>
      </w:r>
      <w:r w:rsidR="00E16EF2" w:rsidRPr="00EF6F04">
        <w:rPr>
          <w:lang w:val="fr-FR"/>
        </w:rPr>
        <w:t>à présent dominante et a affirmé que la violation du droit à une durée raisonnable des procédures judicaires doit être examinée en considérant la période de temps s</w:t>
      </w:r>
      <w:r w:rsidR="00EF6F04" w:rsidRPr="00EF6F04">
        <w:rPr>
          <w:lang w:val="fr-FR"/>
        </w:rPr>
        <w:t>’</w:t>
      </w:r>
      <w:r w:rsidR="00E16EF2" w:rsidRPr="00EF6F04">
        <w:rPr>
          <w:lang w:val="fr-FR"/>
        </w:rPr>
        <w:t>étant écoulée à partir de l</w:t>
      </w:r>
      <w:r w:rsidR="00EF6F04" w:rsidRPr="00EF6F04">
        <w:rPr>
          <w:lang w:val="fr-FR"/>
        </w:rPr>
        <w:t>’</w:t>
      </w:r>
      <w:r w:rsidR="00E16EF2" w:rsidRPr="00EF6F04">
        <w:rPr>
          <w:lang w:val="fr-FR"/>
        </w:rPr>
        <w:t xml:space="preserve">introduction de la procédure. Cela trouve également application dans les procédures devant le juge administratif, le défaut ou le dépôt </w:t>
      </w:r>
      <w:r w:rsidR="00E16EF2" w:rsidRPr="00EF6F04">
        <w:rPr>
          <w:lang w:val="fr-FR"/>
        </w:rPr>
        <w:lastRenderedPageBreak/>
        <w:t>tardif de la demande de fixation urgente de la date de l</w:t>
      </w:r>
      <w:r w:rsidR="00EF6F04" w:rsidRPr="00EF6F04">
        <w:rPr>
          <w:lang w:val="fr-FR"/>
        </w:rPr>
        <w:t>’</w:t>
      </w:r>
      <w:r w:rsidR="00E16EF2" w:rsidRPr="00EF6F04">
        <w:rPr>
          <w:lang w:val="fr-FR"/>
        </w:rPr>
        <w:t>audience n</w:t>
      </w:r>
      <w:r w:rsidR="00EF6F04" w:rsidRPr="00EF6F04">
        <w:rPr>
          <w:lang w:val="fr-FR"/>
        </w:rPr>
        <w:t>’</w:t>
      </w:r>
      <w:r w:rsidR="00E16EF2" w:rsidRPr="00EF6F04">
        <w:rPr>
          <w:lang w:val="fr-FR"/>
        </w:rPr>
        <w:t>ayant aucune incidence.</w:t>
      </w:r>
    </w:p>
    <w:p w:rsidR="00E16EF2" w:rsidRPr="00EF6F04" w:rsidRDefault="00E16EF2" w:rsidP="00EF6F04">
      <w:pPr>
        <w:pStyle w:val="ECHRParaQuote"/>
        <w:rPr>
          <w:lang w:val="fr-FR"/>
        </w:rPr>
      </w:pPr>
      <w:r w:rsidRPr="00EF6F04">
        <w:rPr>
          <w:lang w:val="fr-FR"/>
        </w:rPr>
        <w:t>Cette interprétation (...) doit être confirmée, en considérant que (...) l</w:t>
      </w:r>
      <w:r w:rsidR="00EF6F04" w:rsidRPr="00EF6F04">
        <w:rPr>
          <w:lang w:val="fr-FR"/>
        </w:rPr>
        <w:t>’</w:t>
      </w:r>
      <w:r w:rsidRPr="00EF6F04">
        <w:rPr>
          <w:lang w:val="fr-FR"/>
        </w:rPr>
        <w:t>existence d</w:t>
      </w:r>
      <w:r w:rsidR="00EF6F04" w:rsidRPr="00EF6F04">
        <w:rPr>
          <w:lang w:val="fr-FR"/>
        </w:rPr>
        <w:t>’</w:t>
      </w:r>
      <w:r w:rsidRPr="00EF6F04">
        <w:rPr>
          <w:lang w:val="fr-FR"/>
        </w:rPr>
        <w:t>un instrument d</w:t>
      </w:r>
      <w:r w:rsidR="00EF6F04" w:rsidRPr="00EF6F04">
        <w:rPr>
          <w:lang w:val="fr-FR"/>
        </w:rPr>
        <w:t>’</w:t>
      </w:r>
      <w:r w:rsidRPr="00EF6F04">
        <w:rPr>
          <w:lang w:val="fr-FR"/>
        </w:rPr>
        <w:t>accélération du procès ne suspend ni ne diffère l</w:t>
      </w:r>
      <w:r w:rsidR="00EF6F04" w:rsidRPr="00EF6F04">
        <w:rPr>
          <w:lang w:val="fr-FR"/>
        </w:rPr>
        <w:t>’</w:t>
      </w:r>
      <w:r w:rsidRPr="00EF6F04">
        <w:rPr>
          <w:lang w:val="fr-FR"/>
        </w:rPr>
        <w:t>obligation de l</w:t>
      </w:r>
      <w:r w:rsidR="00EF6F04" w:rsidRPr="00EF6F04">
        <w:rPr>
          <w:lang w:val="fr-FR"/>
        </w:rPr>
        <w:t>’</w:t>
      </w:r>
      <w:r w:rsidRPr="00EF6F04">
        <w:rPr>
          <w:lang w:val="fr-FR"/>
        </w:rPr>
        <w:t>État de statuer sur la demande, ni n</w:t>
      </w:r>
      <w:r w:rsidR="00EF6F04" w:rsidRPr="00EF6F04">
        <w:rPr>
          <w:lang w:val="fr-FR"/>
        </w:rPr>
        <w:t>’</w:t>
      </w:r>
      <w:r w:rsidRPr="00EF6F04">
        <w:rPr>
          <w:lang w:val="fr-FR"/>
        </w:rPr>
        <w:t>entraîne l</w:t>
      </w:r>
      <w:r w:rsidR="00EF6F04" w:rsidRPr="00EF6F04">
        <w:rPr>
          <w:lang w:val="fr-FR"/>
        </w:rPr>
        <w:t>’</w:t>
      </w:r>
      <w:r w:rsidRPr="00EF6F04">
        <w:rPr>
          <w:lang w:val="fr-FR"/>
        </w:rPr>
        <w:t>attribution à la partie requérante d</w:t>
      </w:r>
      <w:r w:rsidR="00EF6F04" w:rsidRPr="00EF6F04">
        <w:rPr>
          <w:lang w:val="fr-FR"/>
        </w:rPr>
        <w:t>’</w:t>
      </w:r>
      <w:r w:rsidRPr="00EF6F04">
        <w:rPr>
          <w:lang w:val="fr-FR"/>
        </w:rPr>
        <w:t>une responsabilité pour le dépassement du délai raisonnable dans la résolution de l</w:t>
      </w:r>
      <w:r w:rsidR="00EF6F04" w:rsidRPr="00EF6F04">
        <w:rPr>
          <w:lang w:val="fr-FR"/>
        </w:rPr>
        <w:t>’</w:t>
      </w:r>
      <w:r w:rsidRPr="00EF6F04">
        <w:rPr>
          <w:lang w:val="fr-FR"/>
        </w:rPr>
        <w:t>affaire, le comportement de la partie ne pouvant entrer en ligne de compte que dans l</w:t>
      </w:r>
      <w:r w:rsidR="00EF6F04" w:rsidRPr="00EF6F04">
        <w:rPr>
          <w:lang w:val="fr-FR"/>
        </w:rPr>
        <w:t>’</w:t>
      </w:r>
      <w:r w:rsidRPr="00EF6F04">
        <w:rPr>
          <w:lang w:val="fr-FR"/>
        </w:rPr>
        <w:t>appréciation du préjudice subi.</w:t>
      </w:r>
      <w:r w:rsidR="00AF5649" w:rsidRPr="00EF6F04">
        <w:rPr>
          <w:lang w:val="fr-FR"/>
        </w:rPr>
        <w:t> </w:t>
      </w:r>
      <w:r w:rsidRPr="00EF6F04">
        <w:rPr>
          <w:lang w:val="fr-FR"/>
        </w:rPr>
        <w:t>»</w:t>
      </w:r>
    </w:p>
    <w:p w:rsidR="00E16EF2" w:rsidRPr="00EF6F04" w:rsidRDefault="00E16EF2"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18</w:t>
      </w:r>
      <w:r w:rsidRPr="00EF6F04">
        <w:rPr>
          <w:lang w:val="fr-FR"/>
        </w:rPr>
        <w:fldChar w:fldCharType="end"/>
      </w:r>
      <w:r w:rsidRPr="00EF6F04">
        <w:rPr>
          <w:lang w:val="fr-FR"/>
        </w:rPr>
        <w:t>.  Par la suite, le décret-loi n</w:t>
      </w:r>
      <w:r w:rsidRPr="00EF6F04">
        <w:rPr>
          <w:vertAlign w:val="superscript"/>
          <w:lang w:val="fr-FR"/>
        </w:rPr>
        <w:t>o</w:t>
      </w:r>
      <w:r w:rsidRPr="00EF6F04">
        <w:rPr>
          <w:lang w:val="fr-FR"/>
        </w:rPr>
        <w:t xml:space="preserve"> 112 du 25 juin 2008</w:t>
      </w:r>
      <w:r w:rsidR="005C5C13" w:rsidRPr="00EF6F04">
        <w:rPr>
          <w:lang w:val="fr-FR"/>
        </w:rPr>
        <w:t>,</w:t>
      </w:r>
      <w:r w:rsidRPr="00EF6F04">
        <w:rPr>
          <w:lang w:val="fr-FR"/>
        </w:rPr>
        <w:t xml:space="preserve"> entré en vigueur le même jour </w:t>
      </w:r>
      <w:r w:rsidR="005C5C13" w:rsidRPr="00EF6F04">
        <w:rPr>
          <w:lang w:val="fr-FR"/>
        </w:rPr>
        <w:t>(puis</w:t>
      </w:r>
      <w:r w:rsidRPr="00EF6F04">
        <w:rPr>
          <w:lang w:val="fr-FR"/>
        </w:rPr>
        <w:t xml:space="preserve"> converti</w:t>
      </w:r>
      <w:r w:rsidR="00510527" w:rsidRPr="00EF6F04">
        <w:rPr>
          <w:lang w:val="fr-FR"/>
        </w:rPr>
        <w:t>,</w:t>
      </w:r>
      <w:r w:rsidRPr="00EF6F04">
        <w:rPr>
          <w:lang w:val="fr-FR"/>
        </w:rPr>
        <w:t xml:space="preserve"> </w:t>
      </w:r>
      <w:r w:rsidR="00510527" w:rsidRPr="00EF6F04">
        <w:rPr>
          <w:lang w:val="fr-FR"/>
        </w:rPr>
        <w:t xml:space="preserve">sans aucune modification substantielle sur ce point, </w:t>
      </w:r>
      <w:r w:rsidRPr="00EF6F04">
        <w:rPr>
          <w:lang w:val="fr-FR"/>
        </w:rPr>
        <w:t>par la loi n</w:t>
      </w:r>
      <w:r w:rsidRPr="00EF6F04">
        <w:rPr>
          <w:vertAlign w:val="superscript"/>
          <w:lang w:val="fr-FR"/>
        </w:rPr>
        <w:t>o</w:t>
      </w:r>
      <w:r w:rsidRPr="00EF6F04">
        <w:rPr>
          <w:lang w:val="fr-FR"/>
        </w:rPr>
        <w:t xml:space="preserve"> 133 du 6 août 2008</w:t>
      </w:r>
      <w:r w:rsidR="005C5C13" w:rsidRPr="00EF6F04">
        <w:rPr>
          <w:lang w:val="fr-FR"/>
        </w:rPr>
        <w:t>)</w:t>
      </w:r>
      <w:r w:rsidRPr="00EF6F04">
        <w:rPr>
          <w:lang w:val="fr-FR"/>
        </w:rPr>
        <w:t xml:space="preserve">, a prévu </w:t>
      </w:r>
      <w:r w:rsidR="00753393" w:rsidRPr="00EF6F04">
        <w:rPr>
          <w:lang w:val="fr-FR"/>
        </w:rPr>
        <w:t xml:space="preserve">dans son article 54, alinéa 2, </w:t>
      </w:r>
      <w:r w:rsidRPr="00EF6F04">
        <w:rPr>
          <w:lang w:val="fr-FR"/>
        </w:rPr>
        <w:t>que :</w:t>
      </w:r>
    </w:p>
    <w:p w:rsidR="00E77CB3" w:rsidRPr="00EF6F04" w:rsidRDefault="00AF5649" w:rsidP="00EF6F04">
      <w:pPr>
        <w:pStyle w:val="ECHRParaQuote"/>
        <w:rPr>
          <w:lang w:val="fr-FR"/>
        </w:rPr>
      </w:pPr>
      <w:r w:rsidRPr="00EF6F04">
        <w:rPr>
          <w:lang w:val="fr-FR"/>
        </w:rPr>
        <w:t>« </w:t>
      </w:r>
      <w:r w:rsidR="00E16EF2" w:rsidRPr="00EF6F04">
        <w:rPr>
          <w:lang w:val="fr-FR"/>
        </w:rPr>
        <w:t>(...) La demande de satisfaction équitable pour se plaindre de la violation prévue par l</w:t>
      </w:r>
      <w:r w:rsidR="00EF6F04" w:rsidRPr="00EF6F04">
        <w:rPr>
          <w:lang w:val="fr-FR"/>
        </w:rPr>
        <w:t>’</w:t>
      </w:r>
      <w:r w:rsidR="00E16EF2" w:rsidRPr="00EF6F04">
        <w:rPr>
          <w:lang w:val="fr-FR"/>
        </w:rPr>
        <w:t>article 2, premier alinéa (de la loi n</w:t>
      </w:r>
      <w:r w:rsidR="00E16EF2" w:rsidRPr="00EF6F04">
        <w:rPr>
          <w:vertAlign w:val="superscript"/>
          <w:lang w:val="fr-FR"/>
        </w:rPr>
        <w:t>o</w:t>
      </w:r>
      <w:r w:rsidR="005C5C13" w:rsidRPr="00EF6F04">
        <w:rPr>
          <w:vertAlign w:val="superscript"/>
          <w:lang w:val="fr-FR"/>
        </w:rPr>
        <w:t xml:space="preserve"> </w:t>
      </w:r>
      <w:r w:rsidR="00E16EF2" w:rsidRPr="00EF6F04">
        <w:rPr>
          <w:lang w:val="fr-FR"/>
        </w:rPr>
        <w:t>89 du 24 mars 2001)</w:t>
      </w:r>
      <w:r w:rsidR="00753393" w:rsidRPr="00EF6F04">
        <w:rPr>
          <w:lang w:val="fr-FR"/>
        </w:rPr>
        <w:t>,</w:t>
      </w:r>
      <w:r w:rsidR="00E16EF2" w:rsidRPr="00EF6F04">
        <w:rPr>
          <w:lang w:val="fr-FR"/>
        </w:rPr>
        <w:t xml:space="preserve"> dans un</w:t>
      </w:r>
      <w:r w:rsidR="00E25B4A" w:rsidRPr="00EF6F04">
        <w:rPr>
          <w:lang w:val="fr-FR"/>
        </w:rPr>
        <w:t>e procédure</w:t>
      </w:r>
      <w:r w:rsidR="00E16EF2" w:rsidRPr="00EF6F04">
        <w:rPr>
          <w:lang w:val="fr-FR"/>
        </w:rPr>
        <w:t xml:space="preserve"> devant le juge administratif ne peut pas être introduite si, dans l</w:t>
      </w:r>
      <w:r w:rsidR="00E25B4A" w:rsidRPr="00EF6F04">
        <w:rPr>
          <w:lang w:val="fr-FR"/>
        </w:rPr>
        <w:t>adite</w:t>
      </w:r>
      <w:r w:rsidR="00E16EF2" w:rsidRPr="00EF6F04">
        <w:rPr>
          <w:lang w:val="fr-FR"/>
        </w:rPr>
        <w:t xml:space="preserve"> proc</w:t>
      </w:r>
      <w:r w:rsidR="00E25B4A" w:rsidRPr="00EF6F04">
        <w:rPr>
          <w:lang w:val="fr-FR"/>
        </w:rPr>
        <w:t>édure</w:t>
      </w:r>
      <w:r w:rsidR="00E16EF2" w:rsidRPr="00EF6F04">
        <w:rPr>
          <w:lang w:val="fr-FR"/>
        </w:rPr>
        <w:t>, une demande au sens de l</w:t>
      </w:r>
      <w:r w:rsidR="00EF6F04" w:rsidRPr="00EF6F04">
        <w:rPr>
          <w:lang w:val="fr-FR"/>
        </w:rPr>
        <w:t>’</w:t>
      </w:r>
      <w:r w:rsidR="00E16EF2" w:rsidRPr="00EF6F04">
        <w:rPr>
          <w:lang w:val="fr-FR"/>
        </w:rPr>
        <w:t>article 51, deuxième alinéa, du décret royal n</w:t>
      </w:r>
      <w:r w:rsidR="00E16EF2" w:rsidRPr="00EF6F04">
        <w:rPr>
          <w:vertAlign w:val="superscript"/>
          <w:lang w:val="fr-FR"/>
        </w:rPr>
        <w:t>o</w:t>
      </w:r>
      <w:r w:rsidR="00E16EF2" w:rsidRPr="00EF6F04">
        <w:rPr>
          <w:lang w:val="fr-FR"/>
        </w:rPr>
        <w:t xml:space="preserve"> 642 du 17 août 1907 (</w:t>
      </w:r>
      <w:r w:rsidR="00E16EF2" w:rsidRPr="00EF6F04">
        <w:rPr>
          <w:i/>
          <w:lang w:val="fr-FR"/>
        </w:rPr>
        <w:t>istanza di prelievo</w:t>
      </w:r>
      <w:r w:rsidR="00E16EF2" w:rsidRPr="00EF6F04">
        <w:rPr>
          <w:lang w:val="fr-FR"/>
        </w:rPr>
        <w:t>) n</w:t>
      </w:r>
      <w:r w:rsidR="00EF6F04" w:rsidRPr="00EF6F04">
        <w:rPr>
          <w:lang w:val="fr-FR"/>
        </w:rPr>
        <w:t>’</w:t>
      </w:r>
      <w:r w:rsidRPr="00EF6F04">
        <w:rPr>
          <w:lang w:val="fr-FR"/>
        </w:rPr>
        <w:t>a pas été déposée. </w:t>
      </w:r>
      <w:r w:rsidR="00E16EF2" w:rsidRPr="00EF6F04">
        <w:rPr>
          <w:lang w:val="fr-FR"/>
        </w:rPr>
        <w:t>»</w:t>
      </w:r>
    </w:p>
    <w:p w:rsidR="00E77CB3" w:rsidRPr="00EF6F04" w:rsidRDefault="00E77CB3" w:rsidP="00EF6F04">
      <w:pPr>
        <w:pStyle w:val="ECHRTitle1"/>
        <w:rPr>
          <w:lang w:val="fr-FR"/>
        </w:rPr>
      </w:pPr>
      <w:r w:rsidRPr="00EF6F04">
        <w:rPr>
          <w:lang w:val="fr-FR"/>
        </w:rPr>
        <w:t>EN DROIT</w:t>
      </w:r>
    </w:p>
    <w:p w:rsidR="00550356" w:rsidRPr="00EF6F04" w:rsidRDefault="00E77CB3" w:rsidP="00EF6F04">
      <w:pPr>
        <w:pStyle w:val="ECHRHeading1"/>
        <w:rPr>
          <w:lang w:val="fr-FR"/>
        </w:rPr>
      </w:pPr>
      <w:r w:rsidRPr="00EF6F04">
        <w:rPr>
          <w:lang w:val="fr-FR"/>
        </w:rPr>
        <w:t>I.</w:t>
      </w:r>
      <w:r w:rsidR="00C43265" w:rsidRPr="00EF6F04">
        <w:rPr>
          <w:lang w:val="fr-FR"/>
        </w:rPr>
        <w:t>  </w:t>
      </w:r>
      <w:r w:rsidR="00550356" w:rsidRPr="00EF6F04">
        <w:rPr>
          <w:lang w:val="fr-FR"/>
        </w:rPr>
        <w:t>JONCTION DES REQUETES</w:t>
      </w:r>
    </w:p>
    <w:p w:rsidR="00550356" w:rsidRPr="00EF6F04" w:rsidRDefault="00550356"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19</w:t>
      </w:r>
      <w:r w:rsidRPr="00EF6F04">
        <w:rPr>
          <w:lang w:val="fr-FR"/>
        </w:rPr>
        <w:fldChar w:fldCharType="end"/>
      </w:r>
      <w:r w:rsidRPr="00EF6F04">
        <w:rPr>
          <w:lang w:val="fr-FR"/>
        </w:rPr>
        <w:t>.  La Cour constate que, dans les quatre requêtes, les requérants se plaignent de l</w:t>
      </w:r>
      <w:r w:rsidR="00EF6F04" w:rsidRPr="00EF6F04">
        <w:rPr>
          <w:lang w:val="fr-FR"/>
        </w:rPr>
        <w:t>’</w:t>
      </w:r>
      <w:r w:rsidRPr="00EF6F04">
        <w:rPr>
          <w:lang w:val="fr-FR"/>
        </w:rPr>
        <w:t>impossibilité d</w:t>
      </w:r>
      <w:r w:rsidR="00EF6F04" w:rsidRPr="00EF6F04">
        <w:rPr>
          <w:lang w:val="fr-FR"/>
        </w:rPr>
        <w:t>’</w:t>
      </w:r>
      <w:r w:rsidRPr="00EF6F04">
        <w:rPr>
          <w:lang w:val="fr-FR"/>
        </w:rPr>
        <w:t>obtenir une indemnisation dans le cadre du remède « Pinto », en raison de l</w:t>
      </w:r>
      <w:r w:rsidR="00EF6F04" w:rsidRPr="00EF6F04">
        <w:rPr>
          <w:lang w:val="fr-FR"/>
        </w:rPr>
        <w:t>’</w:t>
      </w:r>
      <w:r w:rsidRPr="00EF6F04">
        <w:rPr>
          <w:lang w:val="fr-FR"/>
        </w:rPr>
        <w:t>introduction d</w:t>
      </w:r>
      <w:r w:rsidR="00EF6F04" w:rsidRPr="00EF6F04">
        <w:rPr>
          <w:lang w:val="fr-FR"/>
        </w:rPr>
        <w:t>’</w:t>
      </w:r>
      <w:r w:rsidRPr="00EF6F04">
        <w:rPr>
          <w:lang w:val="fr-FR"/>
        </w:rPr>
        <w:t xml:space="preserve">une nouvelle condition de recevabilité applicable aux procédures juridictionnelles administratives. Partant, compte tenu de la similitude des requêtes quant aux faits et </w:t>
      </w:r>
      <w:r w:rsidR="00BC1BE0" w:rsidRPr="00EF6F04">
        <w:rPr>
          <w:lang w:val="fr-FR"/>
        </w:rPr>
        <w:t>aux</w:t>
      </w:r>
      <w:r w:rsidRPr="00EF6F04">
        <w:rPr>
          <w:lang w:val="fr-FR"/>
        </w:rPr>
        <w:t xml:space="preserve"> question</w:t>
      </w:r>
      <w:r w:rsidR="00BC1BE0" w:rsidRPr="00EF6F04">
        <w:rPr>
          <w:lang w:val="fr-FR"/>
        </w:rPr>
        <w:t>s</w:t>
      </w:r>
      <w:r w:rsidRPr="00EF6F04">
        <w:rPr>
          <w:lang w:val="fr-FR"/>
        </w:rPr>
        <w:t xml:space="preserve"> de fond qu</w:t>
      </w:r>
      <w:r w:rsidR="00EF6F04" w:rsidRPr="00EF6F04">
        <w:rPr>
          <w:lang w:val="fr-FR"/>
        </w:rPr>
        <w:t>’</w:t>
      </w:r>
      <w:r w:rsidRPr="00EF6F04">
        <w:rPr>
          <w:lang w:val="fr-FR"/>
        </w:rPr>
        <w:t>elles posent, elle décide de les joindre et de les examiner conjointement dans un seul arrêt.</w:t>
      </w:r>
    </w:p>
    <w:p w:rsidR="00326AFB" w:rsidRPr="00EF6F04" w:rsidRDefault="00550356" w:rsidP="00EF6F04">
      <w:pPr>
        <w:pStyle w:val="ECHRHeading1"/>
        <w:rPr>
          <w:smallCaps/>
          <w:lang w:val="fr-FR"/>
        </w:rPr>
      </w:pPr>
      <w:r w:rsidRPr="00EF6F04">
        <w:rPr>
          <w:smallCaps/>
          <w:lang w:val="fr-FR"/>
        </w:rPr>
        <w:t>II.</w:t>
      </w:r>
      <w:r w:rsidR="00C43265" w:rsidRPr="00EF6F04">
        <w:rPr>
          <w:lang w:val="fr-FR"/>
        </w:rPr>
        <w:t>  </w:t>
      </w:r>
      <w:r w:rsidR="00C94D6F" w:rsidRPr="00EF6F04">
        <w:rPr>
          <w:smallCaps/>
          <w:lang w:val="fr-FR"/>
        </w:rPr>
        <w:t xml:space="preserve">SUR </w:t>
      </w:r>
      <w:r w:rsidR="00326AFB" w:rsidRPr="00EF6F04">
        <w:rPr>
          <w:smallCaps/>
          <w:lang w:val="fr-FR"/>
        </w:rPr>
        <w:t xml:space="preserve">LA VIOLATION </w:t>
      </w:r>
      <w:r w:rsidR="00C94D6F" w:rsidRPr="00EF6F04">
        <w:rPr>
          <w:lang w:val="fr-FR"/>
        </w:rPr>
        <w:t>ALLÉGUÉE</w:t>
      </w:r>
      <w:r w:rsidR="00C94D6F" w:rsidRPr="00EF6F04">
        <w:rPr>
          <w:smallCaps/>
          <w:lang w:val="fr-FR"/>
        </w:rPr>
        <w:t xml:space="preserve"> </w:t>
      </w:r>
      <w:r w:rsidR="00326AFB" w:rsidRPr="00EF6F04">
        <w:rPr>
          <w:smallCaps/>
          <w:lang w:val="fr-FR"/>
        </w:rPr>
        <w:t>DES ARTICLES 6</w:t>
      </w:r>
      <w:r w:rsidR="009C09B1" w:rsidRPr="00EF6F04">
        <w:rPr>
          <w:smallCaps/>
          <w:lang w:val="fr-FR"/>
        </w:rPr>
        <w:t xml:space="preserve"> </w:t>
      </w:r>
      <w:r w:rsidR="00326AFB" w:rsidRPr="00EF6F04">
        <w:rPr>
          <w:smallCaps/>
          <w:lang w:val="fr-FR"/>
        </w:rPr>
        <w:t>§</w:t>
      </w:r>
      <w:r w:rsidR="009C09B1" w:rsidRPr="00EF6F04">
        <w:rPr>
          <w:smallCaps/>
          <w:lang w:val="fr-FR"/>
        </w:rPr>
        <w:t xml:space="preserve"> </w:t>
      </w:r>
      <w:r w:rsidR="00326AFB" w:rsidRPr="00EF6F04">
        <w:rPr>
          <w:smallCaps/>
          <w:lang w:val="fr-FR"/>
        </w:rPr>
        <w:t>1 ET 13 DE LA CONVENTION</w:t>
      </w:r>
    </w:p>
    <w:p w:rsidR="009C09B1" w:rsidRPr="00EF6F04" w:rsidRDefault="009C09B1"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20</w:t>
      </w:r>
      <w:r w:rsidRPr="00EF6F04">
        <w:rPr>
          <w:lang w:val="fr-FR"/>
        </w:rPr>
        <w:fldChar w:fldCharType="end"/>
      </w:r>
      <w:r w:rsidRPr="00EF6F04">
        <w:rPr>
          <w:lang w:val="fr-FR"/>
        </w:rPr>
        <w:t>.  Les requérants dénoncent la durée des procédures suivies devant le tribunal administratif régional (TAR) de Campanie. Les procédures litigieuses ont débuté le 23 août 1990, jour de la saisine du TAR de Campanie</w:t>
      </w:r>
      <w:r w:rsidR="00713BBC" w:rsidRPr="00EF6F04">
        <w:rPr>
          <w:lang w:val="fr-FR"/>
        </w:rPr>
        <w:t>, et ont pris fin</w:t>
      </w:r>
      <w:r w:rsidRPr="00EF6F04">
        <w:rPr>
          <w:lang w:val="fr-FR"/>
        </w:rPr>
        <w:t xml:space="preserve"> le 5 décembre 2008 ou le 13 mars 2009 (voir tableau en annexe). Elles ont eu une durée de plus de dix-huit ans. </w:t>
      </w:r>
      <w:r w:rsidR="0028554C" w:rsidRPr="00EF6F04">
        <w:rPr>
          <w:lang w:val="fr-FR"/>
        </w:rPr>
        <w:t>Les requérants</w:t>
      </w:r>
      <w:r w:rsidRPr="00EF6F04">
        <w:rPr>
          <w:lang w:val="fr-FR"/>
        </w:rPr>
        <w:t xml:space="preserve"> invoquent l</w:t>
      </w:r>
      <w:r w:rsidR="00EF6F04" w:rsidRPr="00EF6F04">
        <w:rPr>
          <w:lang w:val="fr-FR"/>
        </w:rPr>
        <w:t>’</w:t>
      </w:r>
      <w:r w:rsidRPr="00EF6F04">
        <w:rPr>
          <w:lang w:val="fr-FR"/>
        </w:rPr>
        <w:t>article 6</w:t>
      </w:r>
      <w:r w:rsidR="00BE0811" w:rsidRPr="00EF6F04">
        <w:rPr>
          <w:lang w:val="fr-FR"/>
        </w:rPr>
        <w:t> </w:t>
      </w:r>
      <w:r w:rsidRPr="00EF6F04">
        <w:rPr>
          <w:lang w:val="fr-FR"/>
        </w:rPr>
        <w:t>§</w:t>
      </w:r>
      <w:r w:rsidR="00BE0811" w:rsidRPr="00EF6F04">
        <w:rPr>
          <w:lang w:val="fr-FR"/>
        </w:rPr>
        <w:t> </w:t>
      </w:r>
      <w:r w:rsidRPr="00EF6F04">
        <w:rPr>
          <w:lang w:val="fr-FR"/>
        </w:rPr>
        <w:t>1 de la Convention, dont la partie pertinente est ainsi libellée :</w:t>
      </w:r>
    </w:p>
    <w:p w:rsidR="009C09B1" w:rsidRPr="00EF6F04" w:rsidRDefault="00AF5649" w:rsidP="00EF6F04">
      <w:pPr>
        <w:pStyle w:val="ECHRParaQuote"/>
        <w:rPr>
          <w:lang w:val="fr-FR"/>
        </w:rPr>
      </w:pPr>
      <w:r w:rsidRPr="00EF6F04">
        <w:rPr>
          <w:lang w:val="fr-FR"/>
        </w:rPr>
        <w:t>« </w:t>
      </w:r>
      <w:r w:rsidR="009C09B1" w:rsidRPr="00EF6F04">
        <w:rPr>
          <w:lang w:val="fr-FR"/>
        </w:rPr>
        <w:t>Toute personne a droit à ce que sa cause soit entendue (...) dans un délai raisonnable, par un tribunal (...) qui décidera (...) des contestations sur ses droits et obliga</w:t>
      </w:r>
      <w:r w:rsidRPr="00EF6F04">
        <w:rPr>
          <w:lang w:val="fr-FR"/>
        </w:rPr>
        <w:t>tions de caractère civil (...) </w:t>
      </w:r>
      <w:r w:rsidR="009C09B1" w:rsidRPr="00EF6F04">
        <w:rPr>
          <w:lang w:val="fr-FR"/>
        </w:rPr>
        <w:t>»</w:t>
      </w:r>
    </w:p>
    <w:p w:rsidR="00A65D06" w:rsidRPr="00EF6F04" w:rsidRDefault="003404F4" w:rsidP="00EF6F04">
      <w:pPr>
        <w:pStyle w:val="ECHRPara"/>
        <w:rPr>
          <w:lang w:val="fr-FR"/>
        </w:rPr>
      </w:pPr>
      <w:r w:rsidRPr="00EF6F04">
        <w:rPr>
          <w:lang w:val="fr-FR"/>
        </w:rPr>
        <w:lastRenderedPageBreak/>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21</w:t>
      </w:r>
      <w:r w:rsidRPr="00EF6F04">
        <w:rPr>
          <w:lang w:val="fr-FR"/>
        </w:rPr>
        <w:fldChar w:fldCharType="end"/>
      </w:r>
      <w:r w:rsidRPr="00EF6F04">
        <w:rPr>
          <w:lang w:val="fr-FR"/>
        </w:rPr>
        <w:t>.  </w:t>
      </w:r>
      <w:r w:rsidR="009C09B1" w:rsidRPr="00EF6F04">
        <w:rPr>
          <w:lang w:val="fr-FR"/>
        </w:rPr>
        <w:t xml:space="preserve">Les requérants allèguent </w:t>
      </w:r>
      <w:r w:rsidR="00713BBC" w:rsidRPr="00EF6F04">
        <w:rPr>
          <w:lang w:val="fr-FR"/>
        </w:rPr>
        <w:t xml:space="preserve">aussi </w:t>
      </w:r>
      <w:r w:rsidR="009C09B1" w:rsidRPr="00EF6F04">
        <w:rPr>
          <w:lang w:val="fr-FR"/>
        </w:rPr>
        <w:t>que la condition de recevabilité d</w:t>
      </w:r>
      <w:r w:rsidR="00EF6F04" w:rsidRPr="00EF6F04">
        <w:rPr>
          <w:lang w:val="fr-FR"/>
        </w:rPr>
        <w:t>’</w:t>
      </w:r>
      <w:r w:rsidR="009C09B1" w:rsidRPr="00EF6F04">
        <w:rPr>
          <w:lang w:val="fr-FR"/>
        </w:rPr>
        <w:t>un recours</w:t>
      </w:r>
      <w:r w:rsidR="003A4F3B" w:rsidRPr="00EF6F04">
        <w:rPr>
          <w:lang w:val="fr-FR"/>
        </w:rPr>
        <w:t xml:space="preserve"> indemnitaire</w:t>
      </w:r>
      <w:r w:rsidR="009C09B1" w:rsidRPr="00EF6F04">
        <w:rPr>
          <w:lang w:val="fr-FR"/>
        </w:rPr>
        <w:t xml:space="preserve"> « Pinto », </w:t>
      </w:r>
      <w:r w:rsidR="003A4F3B" w:rsidRPr="00EF6F04">
        <w:rPr>
          <w:lang w:val="fr-FR"/>
        </w:rPr>
        <w:t>à savoir l</w:t>
      </w:r>
      <w:r w:rsidR="00EF6F04" w:rsidRPr="00EF6F04">
        <w:rPr>
          <w:lang w:val="fr-FR"/>
        </w:rPr>
        <w:t>’</w:t>
      </w:r>
      <w:r w:rsidR="003A4F3B" w:rsidRPr="00EF6F04">
        <w:rPr>
          <w:lang w:val="fr-FR"/>
        </w:rPr>
        <w:t>obligation de présenter une demande de fixation en urgence de la date de l</w:t>
      </w:r>
      <w:r w:rsidR="00EF6F04" w:rsidRPr="00EF6F04">
        <w:rPr>
          <w:lang w:val="fr-FR"/>
        </w:rPr>
        <w:t>’</w:t>
      </w:r>
      <w:r w:rsidR="003A4F3B" w:rsidRPr="00EF6F04">
        <w:rPr>
          <w:lang w:val="fr-FR"/>
        </w:rPr>
        <w:t>audience (</w:t>
      </w:r>
      <w:r w:rsidR="003A4F3B" w:rsidRPr="00EF6F04">
        <w:rPr>
          <w:i/>
          <w:lang w:val="fr-FR"/>
        </w:rPr>
        <w:t>istanza di prelievo</w:t>
      </w:r>
      <w:r w:rsidR="003A4F3B" w:rsidRPr="00EF6F04">
        <w:rPr>
          <w:lang w:val="fr-FR"/>
        </w:rPr>
        <w:t>) dans la procédure juridictionnelle administrative</w:t>
      </w:r>
      <w:r w:rsidR="009C09B1" w:rsidRPr="00EF6F04">
        <w:rPr>
          <w:lang w:val="fr-FR"/>
        </w:rPr>
        <w:t>, s</w:t>
      </w:r>
      <w:r w:rsidR="00EF6F04" w:rsidRPr="00EF6F04">
        <w:rPr>
          <w:lang w:val="fr-FR"/>
        </w:rPr>
        <w:t>’</w:t>
      </w:r>
      <w:r w:rsidR="009C09B1" w:rsidRPr="00EF6F04">
        <w:rPr>
          <w:lang w:val="fr-FR"/>
        </w:rPr>
        <w:t>analyserait en une violation de leur droit à un tribunal sur le terrain de l</w:t>
      </w:r>
      <w:r w:rsidR="00EF6F04" w:rsidRPr="00EF6F04">
        <w:rPr>
          <w:lang w:val="fr-FR"/>
        </w:rPr>
        <w:t>’</w:t>
      </w:r>
      <w:r w:rsidR="009C09B1" w:rsidRPr="00EF6F04">
        <w:rPr>
          <w:lang w:val="fr-FR"/>
        </w:rPr>
        <w:t>article 6 § 1 de la Convention, remettant en cause l</w:t>
      </w:r>
      <w:r w:rsidR="00EF6F04" w:rsidRPr="00EF6F04">
        <w:rPr>
          <w:lang w:val="fr-FR"/>
        </w:rPr>
        <w:t>’</w:t>
      </w:r>
      <w:r w:rsidR="009C09B1" w:rsidRPr="00EF6F04">
        <w:rPr>
          <w:lang w:val="fr-FR"/>
        </w:rPr>
        <w:t>effectivité dudit remède.</w:t>
      </w:r>
    </w:p>
    <w:p w:rsidR="009C09B1" w:rsidRPr="00EF6F04" w:rsidRDefault="009C09B1"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22</w:t>
      </w:r>
      <w:r w:rsidRPr="00EF6F04">
        <w:rPr>
          <w:lang w:val="fr-FR"/>
        </w:rPr>
        <w:fldChar w:fldCharType="end"/>
      </w:r>
      <w:r w:rsidRPr="00EF6F04">
        <w:rPr>
          <w:lang w:val="fr-FR"/>
        </w:rPr>
        <w:t>.  Maîtresse de la qualification juridique des faits (</w:t>
      </w:r>
      <w:r w:rsidRPr="00EF6F04">
        <w:rPr>
          <w:i/>
          <w:lang w:val="fr-FR"/>
        </w:rPr>
        <w:t xml:space="preserve">Aksu c. Turquie </w:t>
      </w:r>
      <w:r w:rsidRPr="00EF6F04">
        <w:rPr>
          <w:lang w:val="fr-FR"/>
        </w:rPr>
        <w:t>[GC], n</w:t>
      </w:r>
      <w:r w:rsidRPr="00EF6F04">
        <w:rPr>
          <w:vertAlign w:val="superscript"/>
          <w:lang w:val="fr-FR"/>
        </w:rPr>
        <w:t>os</w:t>
      </w:r>
      <w:r w:rsidRPr="00EF6F04">
        <w:rPr>
          <w:lang w:val="fr-FR"/>
        </w:rPr>
        <w:t xml:space="preserve"> 4149/04 et 41029/04</w:t>
      </w:r>
      <w:r w:rsidRPr="00EF6F04">
        <w:rPr>
          <w:snapToGrid w:val="0"/>
          <w:szCs w:val="24"/>
          <w:lang w:val="fr-FR"/>
        </w:rPr>
        <w:t xml:space="preserve">, § 43, </w:t>
      </w:r>
      <w:r w:rsidRPr="00EF6F04">
        <w:rPr>
          <w:snapToGrid w:val="0"/>
          <w:lang w:val="fr-FR"/>
        </w:rPr>
        <w:t xml:space="preserve">CEDH 2012 ; </w:t>
      </w:r>
      <w:r w:rsidR="00932414" w:rsidRPr="00EF6F04">
        <w:rPr>
          <w:i/>
          <w:lang w:val="fr-FR"/>
        </w:rPr>
        <w:t>Halil Yüksel Akıncı c. Turquie</w:t>
      </w:r>
      <w:r w:rsidR="00932414" w:rsidRPr="00EF6F04">
        <w:rPr>
          <w:lang w:val="fr-FR"/>
        </w:rPr>
        <w:t>, n</w:t>
      </w:r>
      <w:r w:rsidR="00932414" w:rsidRPr="00EF6F04">
        <w:rPr>
          <w:vertAlign w:val="superscript"/>
          <w:lang w:val="fr-FR"/>
        </w:rPr>
        <w:t>o</w:t>
      </w:r>
      <w:r w:rsidR="00932414" w:rsidRPr="00EF6F04">
        <w:rPr>
          <w:lang w:val="fr-FR"/>
        </w:rPr>
        <w:t xml:space="preserve"> 39125/04</w:t>
      </w:r>
      <w:r w:rsidR="00932414" w:rsidRPr="00EF6F04">
        <w:rPr>
          <w:snapToGrid w:val="0"/>
          <w:lang w:val="fr-FR"/>
        </w:rPr>
        <w:t xml:space="preserve">, § 54, 11 </w:t>
      </w:r>
      <w:r w:rsidR="00932414" w:rsidRPr="00EF6F04">
        <w:rPr>
          <w:lang w:val="fr-FR"/>
        </w:rPr>
        <w:t>décembre</w:t>
      </w:r>
      <w:r w:rsidR="00932414" w:rsidRPr="00EF6F04">
        <w:rPr>
          <w:snapToGrid w:val="0"/>
          <w:lang w:val="fr-FR"/>
        </w:rPr>
        <w:t xml:space="preserve"> 2012 ; </w:t>
      </w:r>
      <w:r w:rsidRPr="00EF6F04">
        <w:rPr>
          <w:i/>
          <w:lang w:val="fr-FR"/>
        </w:rPr>
        <w:t>Guerra et autres c. Italie</w:t>
      </w:r>
      <w:r w:rsidR="00BE0811" w:rsidRPr="00EF6F04">
        <w:rPr>
          <w:lang w:val="fr-FR"/>
        </w:rPr>
        <w:t>, 19 février 1998, § </w:t>
      </w:r>
      <w:r w:rsidRPr="00EF6F04">
        <w:rPr>
          <w:lang w:val="fr-FR"/>
        </w:rPr>
        <w:t xml:space="preserve">44, </w:t>
      </w:r>
      <w:r w:rsidRPr="00EF6F04">
        <w:rPr>
          <w:i/>
          <w:lang w:val="fr-FR"/>
        </w:rPr>
        <w:t>Recueil des arrêts et décisions</w:t>
      </w:r>
      <w:r w:rsidR="00932414" w:rsidRPr="00EF6F04">
        <w:rPr>
          <w:lang w:val="fr-FR"/>
        </w:rPr>
        <w:t xml:space="preserve"> 1998</w:t>
      </w:r>
      <w:r w:rsidR="00932414" w:rsidRPr="00EF6F04">
        <w:rPr>
          <w:lang w:val="fr-FR"/>
        </w:rPr>
        <w:noBreakHyphen/>
        <w:t>I</w:t>
      </w:r>
      <w:r w:rsidRPr="00EF6F04">
        <w:rPr>
          <w:lang w:val="fr-FR"/>
        </w:rPr>
        <w:t>), la Cour estime plus approprié d</w:t>
      </w:r>
      <w:r w:rsidR="00EF6F04" w:rsidRPr="00EF6F04">
        <w:rPr>
          <w:lang w:val="fr-FR"/>
        </w:rPr>
        <w:t>’</w:t>
      </w:r>
      <w:r w:rsidRPr="00EF6F04">
        <w:rPr>
          <w:lang w:val="fr-FR"/>
        </w:rPr>
        <w:t xml:space="preserve">examiner </w:t>
      </w:r>
      <w:r w:rsidR="00D96EAC" w:rsidRPr="00EF6F04">
        <w:rPr>
          <w:lang w:val="fr-FR"/>
        </w:rPr>
        <w:t>cet aspect du</w:t>
      </w:r>
      <w:r w:rsidRPr="00EF6F04">
        <w:rPr>
          <w:lang w:val="fr-FR"/>
        </w:rPr>
        <w:t xml:space="preserve"> grief des requérants</w:t>
      </w:r>
      <w:r w:rsidR="00D96EAC" w:rsidRPr="00EF6F04">
        <w:rPr>
          <w:lang w:val="fr-FR"/>
        </w:rPr>
        <w:t xml:space="preserve"> essentiellement</w:t>
      </w:r>
      <w:r w:rsidRPr="00EF6F04">
        <w:rPr>
          <w:lang w:val="fr-FR"/>
        </w:rPr>
        <w:t xml:space="preserve"> sur le terrain de l</w:t>
      </w:r>
      <w:r w:rsidR="00EF6F04" w:rsidRPr="00EF6F04">
        <w:rPr>
          <w:lang w:val="fr-FR"/>
        </w:rPr>
        <w:t>’</w:t>
      </w:r>
      <w:r w:rsidRPr="00EF6F04">
        <w:rPr>
          <w:lang w:val="fr-FR"/>
        </w:rPr>
        <w:t>article 13 de la Convention.</w:t>
      </w:r>
    </w:p>
    <w:p w:rsidR="009C09B1" w:rsidRPr="00EF6F04" w:rsidRDefault="009C09B1"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23</w:t>
      </w:r>
      <w:r w:rsidRPr="00EF6F04">
        <w:rPr>
          <w:lang w:val="fr-FR"/>
        </w:rPr>
        <w:fldChar w:fldCharType="end"/>
      </w:r>
      <w:r w:rsidRPr="00EF6F04">
        <w:rPr>
          <w:lang w:val="fr-FR"/>
        </w:rPr>
        <w:t>.  Selon l</w:t>
      </w:r>
      <w:r w:rsidR="00EF6F04" w:rsidRPr="00EF6F04">
        <w:rPr>
          <w:lang w:val="fr-FR"/>
        </w:rPr>
        <w:t>’</w:t>
      </w:r>
      <w:r w:rsidRPr="00EF6F04">
        <w:rPr>
          <w:lang w:val="fr-FR"/>
        </w:rPr>
        <w:t>article 13 de la Convention, ainsi libellé :</w:t>
      </w:r>
    </w:p>
    <w:p w:rsidR="009C09B1" w:rsidRPr="00EF6F04" w:rsidRDefault="009C09B1" w:rsidP="00EF6F04">
      <w:pPr>
        <w:pStyle w:val="ECHRParaQuote"/>
        <w:rPr>
          <w:lang w:val="fr-FR"/>
        </w:rPr>
      </w:pPr>
      <w:r w:rsidRPr="00EF6F04">
        <w:rPr>
          <w:lang w:val="fr-FR"/>
        </w:rPr>
        <w:t>« Toute personne dont les droits et libertés reconnus dans la (...) Convention ont été violés, a droit à l</w:t>
      </w:r>
      <w:r w:rsidR="00EF6F04" w:rsidRPr="00EF6F04">
        <w:rPr>
          <w:lang w:val="fr-FR"/>
        </w:rPr>
        <w:t>’</w:t>
      </w:r>
      <w:r w:rsidRPr="00EF6F04">
        <w:rPr>
          <w:lang w:val="fr-FR"/>
        </w:rPr>
        <w:t>octroi d</w:t>
      </w:r>
      <w:r w:rsidR="00EF6F04" w:rsidRPr="00EF6F04">
        <w:rPr>
          <w:lang w:val="fr-FR"/>
        </w:rPr>
        <w:t>’</w:t>
      </w:r>
      <w:r w:rsidRPr="00EF6F04">
        <w:rPr>
          <w:lang w:val="fr-FR"/>
        </w:rPr>
        <w:t>un recours effectif devant une instance nationale, alors même que la violation aurait été commise par des personnes agissant dans l</w:t>
      </w:r>
      <w:r w:rsidR="00EF6F04" w:rsidRPr="00EF6F04">
        <w:rPr>
          <w:lang w:val="fr-FR"/>
        </w:rPr>
        <w:t>’</w:t>
      </w:r>
      <w:r w:rsidRPr="00EF6F04">
        <w:rPr>
          <w:lang w:val="fr-FR"/>
        </w:rPr>
        <w:t>exercice de</w:t>
      </w:r>
      <w:r w:rsidR="005E26E6" w:rsidRPr="00EF6F04">
        <w:rPr>
          <w:lang w:val="fr-FR"/>
        </w:rPr>
        <w:t xml:space="preserve"> leurs fonctions officielles. »</w:t>
      </w:r>
    </w:p>
    <w:p w:rsidR="00ED71F9" w:rsidRPr="00EF6F04" w:rsidRDefault="00ED71F9" w:rsidP="00EF6F04">
      <w:pPr>
        <w:pStyle w:val="ECHRHeading2"/>
        <w:rPr>
          <w:lang w:val="fr-FR"/>
        </w:rPr>
      </w:pPr>
      <w:r w:rsidRPr="00EF6F04">
        <w:rPr>
          <w:lang w:val="fr-FR"/>
        </w:rPr>
        <w:t>A.  Thèses des parties</w:t>
      </w:r>
    </w:p>
    <w:p w:rsidR="0067215E" w:rsidRPr="00EF6F04" w:rsidRDefault="0067215E" w:rsidP="00EF6F04">
      <w:pPr>
        <w:pStyle w:val="ECHRHeading3"/>
        <w:rPr>
          <w:lang w:val="fr-FR"/>
        </w:rPr>
      </w:pPr>
      <w:r w:rsidRPr="00EF6F04">
        <w:rPr>
          <w:lang w:val="fr-FR"/>
        </w:rPr>
        <w:t>1.</w:t>
      </w:r>
      <w:r w:rsidR="00C43265" w:rsidRPr="00EF6F04">
        <w:rPr>
          <w:lang w:val="fr-FR"/>
        </w:rPr>
        <w:t>  </w:t>
      </w:r>
      <w:r w:rsidRPr="00EF6F04">
        <w:rPr>
          <w:lang w:val="fr-FR"/>
        </w:rPr>
        <w:t>Le Gouvernement</w:t>
      </w:r>
    </w:p>
    <w:p w:rsidR="006F6AD1" w:rsidRPr="00EF6F04" w:rsidRDefault="00A1251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24</w:t>
      </w:r>
      <w:r w:rsidRPr="00EF6F04">
        <w:rPr>
          <w:lang w:val="fr-FR"/>
        </w:rPr>
        <w:fldChar w:fldCharType="end"/>
      </w:r>
      <w:r w:rsidRPr="00EF6F04">
        <w:rPr>
          <w:lang w:val="fr-FR"/>
        </w:rPr>
        <w:t>.  </w:t>
      </w:r>
      <w:r w:rsidR="001538CB" w:rsidRPr="00EF6F04">
        <w:rPr>
          <w:lang w:val="fr-FR"/>
        </w:rPr>
        <w:t xml:space="preserve">Le Gouvernement </w:t>
      </w:r>
      <w:r w:rsidR="001665D5" w:rsidRPr="00EF6F04">
        <w:rPr>
          <w:lang w:val="fr-FR"/>
        </w:rPr>
        <w:t>développe deux</w:t>
      </w:r>
      <w:r w:rsidR="00182124" w:rsidRPr="00EF6F04">
        <w:rPr>
          <w:lang w:val="fr-FR"/>
        </w:rPr>
        <w:t xml:space="preserve"> lignes de</w:t>
      </w:r>
      <w:r w:rsidR="001665D5" w:rsidRPr="00EF6F04">
        <w:rPr>
          <w:lang w:val="fr-FR"/>
        </w:rPr>
        <w:t xml:space="preserve"> </w:t>
      </w:r>
      <w:r w:rsidR="00182124" w:rsidRPr="00EF6F04">
        <w:rPr>
          <w:lang w:val="fr-FR"/>
        </w:rPr>
        <w:t>raisonnement dans ses observations</w:t>
      </w:r>
      <w:r w:rsidR="001665D5" w:rsidRPr="00EF6F04">
        <w:rPr>
          <w:lang w:val="fr-FR"/>
        </w:rPr>
        <w:t xml:space="preserve">. En premier lieu, il maintient que </w:t>
      </w:r>
      <w:r w:rsidR="0080359C" w:rsidRPr="00EF6F04">
        <w:rPr>
          <w:lang w:val="fr-FR"/>
        </w:rPr>
        <w:t>les requérants n</w:t>
      </w:r>
      <w:r w:rsidR="00EF6F04" w:rsidRPr="00EF6F04">
        <w:rPr>
          <w:lang w:val="fr-FR"/>
        </w:rPr>
        <w:t>’</w:t>
      </w:r>
      <w:r w:rsidR="00753393" w:rsidRPr="00EF6F04">
        <w:rPr>
          <w:lang w:val="fr-FR"/>
        </w:rPr>
        <w:t>ont</w:t>
      </w:r>
      <w:r w:rsidR="0080359C" w:rsidRPr="00EF6F04">
        <w:rPr>
          <w:lang w:val="fr-FR"/>
        </w:rPr>
        <w:t xml:space="preserve"> pas valablement saisi les juridictions « Pinto »</w:t>
      </w:r>
      <w:r w:rsidR="001665D5" w:rsidRPr="00EF6F04">
        <w:rPr>
          <w:lang w:val="fr-FR"/>
        </w:rPr>
        <w:t xml:space="preserve"> en raison du défaut de présentation d</w:t>
      </w:r>
      <w:r w:rsidR="00EF6F04" w:rsidRPr="00EF6F04">
        <w:rPr>
          <w:lang w:val="fr-FR"/>
        </w:rPr>
        <w:t>’</w:t>
      </w:r>
      <w:r w:rsidR="001665D5" w:rsidRPr="00EF6F04">
        <w:rPr>
          <w:lang w:val="fr-FR"/>
        </w:rPr>
        <w:t>une demande de fixation en urgence de la date de l</w:t>
      </w:r>
      <w:r w:rsidR="00EF6F04" w:rsidRPr="00EF6F04">
        <w:rPr>
          <w:lang w:val="fr-FR"/>
        </w:rPr>
        <w:t>’</w:t>
      </w:r>
      <w:r w:rsidR="001665D5" w:rsidRPr="00EF6F04">
        <w:rPr>
          <w:lang w:val="fr-FR"/>
        </w:rPr>
        <w:t>audience (</w:t>
      </w:r>
      <w:r w:rsidR="001665D5" w:rsidRPr="00EF6F04">
        <w:rPr>
          <w:i/>
          <w:lang w:val="fr-FR"/>
        </w:rPr>
        <w:t>istanza di prelievo</w:t>
      </w:r>
      <w:r w:rsidR="001665D5" w:rsidRPr="00EF6F04">
        <w:rPr>
          <w:lang w:val="fr-FR"/>
        </w:rPr>
        <w:t>) au cours de la procédure juridictionnelle administrative. En deuxième lieu, il soutient que</w:t>
      </w:r>
      <w:r w:rsidR="003D48E7" w:rsidRPr="00EF6F04">
        <w:rPr>
          <w:lang w:val="fr-FR"/>
        </w:rPr>
        <w:t>, hormis M. G. Olivieri,</w:t>
      </w:r>
      <w:r w:rsidR="001665D5" w:rsidRPr="00EF6F04">
        <w:rPr>
          <w:lang w:val="fr-FR"/>
        </w:rPr>
        <w:t xml:space="preserve"> les </w:t>
      </w:r>
      <w:r w:rsidR="0028554C" w:rsidRPr="00EF6F04">
        <w:rPr>
          <w:lang w:val="fr-FR"/>
        </w:rPr>
        <w:t xml:space="preserve">autres </w:t>
      </w:r>
      <w:r w:rsidR="001665D5" w:rsidRPr="00EF6F04">
        <w:rPr>
          <w:lang w:val="fr-FR"/>
        </w:rPr>
        <w:t>requérants</w:t>
      </w:r>
      <w:r w:rsidR="0028554C" w:rsidRPr="00EF6F04">
        <w:rPr>
          <w:lang w:val="fr-FR"/>
        </w:rPr>
        <w:t>,</w:t>
      </w:r>
      <w:r w:rsidR="001665D5" w:rsidRPr="00EF6F04">
        <w:rPr>
          <w:lang w:val="fr-FR"/>
        </w:rPr>
        <w:t xml:space="preserve"> </w:t>
      </w:r>
      <w:r w:rsidR="00182124" w:rsidRPr="00EF6F04">
        <w:rPr>
          <w:lang w:val="fr-FR"/>
        </w:rPr>
        <w:t xml:space="preserve">intervenus </w:t>
      </w:r>
      <w:r w:rsidR="001665D5" w:rsidRPr="00EF6F04">
        <w:rPr>
          <w:i/>
          <w:lang w:val="fr-FR"/>
        </w:rPr>
        <w:t>de iure ereditario</w:t>
      </w:r>
      <w:r w:rsidR="001665D5" w:rsidRPr="00EF6F04">
        <w:rPr>
          <w:lang w:val="fr-FR"/>
        </w:rPr>
        <w:t xml:space="preserve"> </w:t>
      </w:r>
      <w:r w:rsidR="00182124" w:rsidRPr="00EF6F04">
        <w:rPr>
          <w:lang w:val="fr-FR"/>
        </w:rPr>
        <w:t>à quelques mois de la conclusion des procédures respectives</w:t>
      </w:r>
      <w:r w:rsidR="0028554C" w:rsidRPr="00EF6F04">
        <w:rPr>
          <w:lang w:val="fr-FR"/>
        </w:rPr>
        <w:t>,</w:t>
      </w:r>
      <w:r w:rsidR="00182124" w:rsidRPr="00EF6F04">
        <w:rPr>
          <w:lang w:val="fr-FR"/>
        </w:rPr>
        <w:t xml:space="preserve"> ne peuvent pas être considérés </w:t>
      </w:r>
      <w:r w:rsidR="003D48E7" w:rsidRPr="00EF6F04">
        <w:rPr>
          <w:lang w:val="fr-FR"/>
        </w:rPr>
        <w:t xml:space="preserve">comme </w:t>
      </w:r>
      <w:r w:rsidR="00182124" w:rsidRPr="00EF6F04">
        <w:rPr>
          <w:lang w:val="fr-FR"/>
        </w:rPr>
        <w:t>victime</w:t>
      </w:r>
      <w:r w:rsidR="003D48E7" w:rsidRPr="00EF6F04">
        <w:rPr>
          <w:lang w:val="fr-FR"/>
        </w:rPr>
        <w:t>s</w:t>
      </w:r>
      <w:r w:rsidR="00182124" w:rsidRPr="00EF6F04">
        <w:rPr>
          <w:lang w:val="fr-FR"/>
        </w:rPr>
        <w:t xml:space="preserve"> de la durée globale de la procédure.</w:t>
      </w:r>
    </w:p>
    <w:p w:rsidR="0067215E" w:rsidRPr="00EF6F04" w:rsidRDefault="00182124"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25</w:t>
      </w:r>
      <w:r w:rsidRPr="00EF6F04">
        <w:rPr>
          <w:lang w:val="fr-FR"/>
        </w:rPr>
        <w:fldChar w:fldCharType="end"/>
      </w:r>
      <w:r w:rsidRPr="00EF6F04">
        <w:rPr>
          <w:lang w:val="fr-FR"/>
        </w:rPr>
        <w:t>.</w:t>
      </w:r>
      <w:r w:rsidR="00C276BB" w:rsidRPr="00EF6F04">
        <w:rPr>
          <w:lang w:val="fr-FR"/>
        </w:rPr>
        <w:t>  </w:t>
      </w:r>
      <w:r w:rsidRPr="00EF6F04">
        <w:rPr>
          <w:lang w:val="fr-FR"/>
        </w:rPr>
        <w:t xml:space="preserve">Quant au </w:t>
      </w:r>
      <w:r w:rsidR="0028554C" w:rsidRPr="00EF6F04">
        <w:rPr>
          <w:lang w:val="fr-FR"/>
        </w:rPr>
        <w:t>non-épuisement du recours « Pinto »,</w:t>
      </w:r>
      <w:r w:rsidRPr="00EF6F04">
        <w:rPr>
          <w:lang w:val="fr-FR"/>
        </w:rPr>
        <w:t xml:space="preserve"> l</w:t>
      </w:r>
      <w:r w:rsidR="0067215E" w:rsidRPr="00EF6F04">
        <w:rPr>
          <w:lang w:val="fr-FR"/>
        </w:rPr>
        <w:t xml:space="preserve">e Gouvernement </w:t>
      </w:r>
      <w:r w:rsidR="0028554C" w:rsidRPr="00EF6F04">
        <w:rPr>
          <w:lang w:val="fr-FR"/>
        </w:rPr>
        <w:t>allègue</w:t>
      </w:r>
      <w:r w:rsidR="0067215E" w:rsidRPr="00EF6F04">
        <w:rPr>
          <w:lang w:val="fr-FR"/>
        </w:rPr>
        <w:t xml:space="preserve"> que les requérants n</w:t>
      </w:r>
      <w:r w:rsidR="00EF6F04" w:rsidRPr="00EF6F04">
        <w:rPr>
          <w:lang w:val="fr-FR"/>
        </w:rPr>
        <w:t>’</w:t>
      </w:r>
      <w:r w:rsidR="0067215E" w:rsidRPr="00EF6F04">
        <w:rPr>
          <w:lang w:val="fr-FR"/>
        </w:rPr>
        <w:t>auraient pas saisi la portée exacte de la condition de recevabilité du</w:t>
      </w:r>
      <w:r w:rsidR="0028554C" w:rsidRPr="00EF6F04">
        <w:rPr>
          <w:lang w:val="fr-FR"/>
        </w:rPr>
        <w:t>dit</w:t>
      </w:r>
      <w:r w:rsidR="0067215E" w:rsidRPr="00EF6F04">
        <w:rPr>
          <w:lang w:val="fr-FR"/>
        </w:rPr>
        <w:t xml:space="preserve"> recours. </w:t>
      </w:r>
      <w:r w:rsidR="00932414" w:rsidRPr="00EF6F04">
        <w:rPr>
          <w:lang w:val="fr-FR"/>
        </w:rPr>
        <w:t>Ils</w:t>
      </w:r>
      <w:r w:rsidR="0067215E" w:rsidRPr="00EF6F04">
        <w:rPr>
          <w:lang w:val="fr-FR"/>
        </w:rPr>
        <w:t xml:space="preserve"> auraient confondu la finalité de la demande de fixation de l</w:t>
      </w:r>
      <w:r w:rsidR="00EF6F04" w:rsidRPr="00EF6F04">
        <w:rPr>
          <w:lang w:val="fr-FR"/>
        </w:rPr>
        <w:t>’</w:t>
      </w:r>
      <w:r w:rsidR="0067215E" w:rsidRPr="00EF6F04">
        <w:rPr>
          <w:lang w:val="fr-FR"/>
        </w:rPr>
        <w:t>audience (</w:t>
      </w:r>
      <w:r w:rsidR="0067215E" w:rsidRPr="00EF6F04">
        <w:rPr>
          <w:i/>
          <w:lang w:val="fr-FR"/>
        </w:rPr>
        <w:t>istanza di fissazione dell</w:t>
      </w:r>
      <w:r w:rsidR="00EF6F04" w:rsidRPr="00EF6F04">
        <w:rPr>
          <w:i/>
          <w:lang w:val="fr-FR"/>
        </w:rPr>
        <w:t>’</w:t>
      </w:r>
      <w:r w:rsidR="0067215E" w:rsidRPr="00EF6F04">
        <w:rPr>
          <w:i/>
          <w:lang w:val="fr-FR"/>
        </w:rPr>
        <w:t>udienza</w:t>
      </w:r>
      <w:r w:rsidR="0067215E" w:rsidRPr="00EF6F04">
        <w:rPr>
          <w:lang w:val="fr-FR"/>
        </w:rPr>
        <w:t>), dont le but serait uniquement celui de manifester l</w:t>
      </w:r>
      <w:r w:rsidR="00EF6F04" w:rsidRPr="00EF6F04">
        <w:rPr>
          <w:lang w:val="fr-FR"/>
        </w:rPr>
        <w:t>’</w:t>
      </w:r>
      <w:r w:rsidR="0067215E" w:rsidRPr="00EF6F04">
        <w:rPr>
          <w:lang w:val="fr-FR"/>
        </w:rPr>
        <w:t>intérêt au maintien de l</w:t>
      </w:r>
      <w:r w:rsidR="00EF6F04" w:rsidRPr="00EF6F04">
        <w:rPr>
          <w:lang w:val="fr-FR"/>
        </w:rPr>
        <w:t>’</w:t>
      </w:r>
      <w:r w:rsidR="0067215E" w:rsidRPr="00EF6F04">
        <w:rPr>
          <w:lang w:val="fr-FR"/>
        </w:rPr>
        <w:t>affaire et éviter par ce biais sa péremption, avec celle de la demande de fixation en urgence de la date de l</w:t>
      </w:r>
      <w:r w:rsidR="00EF6F04" w:rsidRPr="00EF6F04">
        <w:rPr>
          <w:lang w:val="fr-FR"/>
        </w:rPr>
        <w:t>’</w:t>
      </w:r>
      <w:r w:rsidR="0067215E" w:rsidRPr="00EF6F04">
        <w:rPr>
          <w:lang w:val="fr-FR"/>
        </w:rPr>
        <w:t>audience (</w:t>
      </w:r>
      <w:r w:rsidR="0067215E" w:rsidRPr="00EF6F04">
        <w:rPr>
          <w:i/>
          <w:lang w:val="fr-FR"/>
        </w:rPr>
        <w:t>istanza di prelievo</w:t>
      </w:r>
      <w:r w:rsidR="0067215E" w:rsidRPr="00EF6F04">
        <w:rPr>
          <w:lang w:val="fr-FR"/>
        </w:rPr>
        <w:t>) qui viserait à accélérer la procédure en cours.</w:t>
      </w:r>
    </w:p>
    <w:p w:rsidR="0067215E" w:rsidRPr="00EF6F04" w:rsidRDefault="0067215E" w:rsidP="00EF6F04">
      <w:pPr>
        <w:pStyle w:val="ECHRPara"/>
        <w:rPr>
          <w:i/>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26</w:t>
      </w:r>
      <w:r w:rsidRPr="00EF6F04">
        <w:rPr>
          <w:lang w:val="fr-FR"/>
        </w:rPr>
        <w:fldChar w:fldCharType="end"/>
      </w:r>
      <w:r w:rsidRPr="00EF6F04">
        <w:rPr>
          <w:lang w:val="fr-FR"/>
        </w:rPr>
        <w:t>.  Le Gouvernement affirme que l</w:t>
      </w:r>
      <w:r w:rsidR="00EF6F04" w:rsidRPr="00EF6F04">
        <w:rPr>
          <w:lang w:val="fr-FR"/>
        </w:rPr>
        <w:t>’</w:t>
      </w:r>
      <w:r w:rsidRPr="00EF6F04">
        <w:rPr>
          <w:i/>
          <w:lang w:val="fr-FR"/>
        </w:rPr>
        <w:t xml:space="preserve">istanza di </w:t>
      </w:r>
      <w:r w:rsidRPr="00EF6F04">
        <w:rPr>
          <w:lang w:val="fr-FR"/>
        </w:rPr>
        <w:t>prelievo, prévue à l</w:t>
      </w:r>
      <w:r w:rsidR="00EF6F04" w:rsidRPr="00EF6F04">
        <w:rPr>
          <w:lang w:val="fr-FR"/>
        </w:rPr>
        <w:t>’</w:t>
      </w:r>
      <w:r w:rsidR="00AF5649" w:rsidRPr="00EF6F04">
        <w:rPr>
          <w:lang w:val="fr-FR"/>
        </w:rPr>
        <w:t>article </w:t>
      </w:r>
      <w:r w:rsidRPr="00EF6F04">
        <w:rPr>
          <w:lang w:val="fr-FR"/>
        </w:rPr>
        <w:t>51 du décret royal n</w:t>
      </w:r>
      <w:r w:rsidRPr="00EF6F04">
        <w:rPr>
          <w:vertAlign w:val="superscript"/>
          <w:lang w:val="fr-FR"/>
        </w:rPr>
        <w:t>o</w:t>
      </w:r>
      <w:r w:rsidRPr="00EF6F04">
        <w:rPr>
          <w:lang w:val="fr-FR"/>
        </w:rPr>
        <w:t> 642 du 17 août 1907, serait le premier remède accélératoire introduit dans le système national afin d</w:t>
      </w:r>
      <w:r w:rsidR="00EF6F04" w:rsidRPr="00EF6F04">
        <w:rPr>
          <w:lang w:val="fr-FR"/>
        </w:rPr>
        <w:t>’</w:t>
      </w:r>
      <w:r w:rsidRPr="00EF6F04">
        <w:rPr>
          <w:lang w:val="fr-FR"/>
        </w:rPr>
        <w:t>éviter la violation du droit à un procès dans un délai raisonnable. À</w:t>
      </w:r>
      <w:r w:rsidR="00D96EAC" w:rsidRPr="00EF6F04">
        <w:rPr>
          <w:lang w:val="fr-FR"/>
        </w:rPr>
        <w:t xml:space="preserve"> cet égard, le Gouvernement argu</w:t>
      </w:r>
      <w:r w:rsidRPr="00EF6F04">
        <w:rPr>
          <w:lang w:val="fr-FR"/>
        </w:rPr>
        <w:t>e que la demande serait un remède effectif, comparable aux remèdes existants dans d</w:t>
      </w:r>
      <w:r w:rsidR="00EF6F04" w:rsidRPr="00EF6F04">
        <w:rPr>
          <w:lang w:val="fr-FR"/>
        </w:rPr>
        <w:t>’</w:t>
      </w:r>
      <w:r w:rsidRPr="00EF6F04">
        <w:rPr>
          <w:lang w:val="fr-FR"/>
        </w:rPr>
        <w:t>autres systèmes juridiques au sein du Conseil de l</w:t>
      </w:r>
      <w:r w:rsidR="00EF6F04" w:rsidRPr="00EF6F04">
        <w:rPr>
          <w:lang w:val="fr-FR"/>
        </w:rPr>
        <w:t>’</w:t>
      </w:r>
      <w:r w:rsidRPr="00EF6F04">
        <w:rPr>
          <w:lang w:val="fr-FR"/>
        </w:rPr>
        <w:t xml:space="preserve">Europe, </w:t>
      </w:r>
      <w:r w:rsidRPr="00EF6F04">
        <w:rPr>
          <w:lang w:val="fr-FR"/>
        </w:rPr>
        <w:lastRenderedPageBreak/>
        <w:t>comme l</w:t>
      </w:r>
      <w:r w:rsidR="00EF6F04" w:rsidRPr="00EF6F04">
        <w:rPr>
          <w:lang w:val="fr-FR"/>
        </w:rPr>
        <w:t>’</w:t>
      </w:r>
      <w:r w:rsidRPr="00EF6F04">
        <w:rPr>
          <w:lang w:val="fr-FR"/>
        </w:rPr>
        <w:t>Allemagne ou la Slovénie, et favorablement évalués par le Comité des Ministres, notamment dans la R</w:t>
      </w:r>
      <w:r w:rsidR="00AF5649" w:rsidRPr="00EF6F04">
        <w:rPr>
          <w:lang w:val="fr-FR"/>
        </w:rPr>
        <w:t>ésolution CM/ResDH(2013)244, 71 </w:t>
      </w:r>
      <w:r w:rsidRPr="00EF6F04">
        <w:rPr>
          <w:lang w:val="fr-FR"/>
        </w:rPr>
        <w:t>affaires contre l</w:t>
      </w:r>
      <w:r w:rsidR="00EF6F04" w:rsidRPr="00EF6F04">
        <w:rPr>
          <w:lang w:val="fr-FR"/>
        </w:rPr>
        <w:t>’</w:t>
      </w:r>
      <w:r w:rsidRPr="00EF6F04">
        <w:rPr>
          <w:lang w:val="fr-FR"/>
        </w:rPr>
        <w:t>Allemagne (</w:t>
      </w:r>
      <w:r w:rsidRPr="00EF6F04">
        <w:rPr>
          <w:i/>
          <w:lang w:val="fr-FR"/>
        </w:rPr>
        <w:t>Rumpf et 70 autres affaires contre l</w:t>
      </w:r>
      <w:r w:rsidR="00EF6F04" w:rsidRPr="00EF6F04">
        <w:rPr>
          <w:i/>
          <w:lang w:val="fr-FR"/>
        </w:rPr>
        <w:t>’</w:t>
      </w:r>
      <w:r w:rsidRPr="00EF6F04">
        <w:rPr>
          <w:i/>
          <w:lang w:val="fr-FR"/>
        </w:rPr>
        <w:t>Allemagne</w:t>
      </w:r>
      <w:r w:rsidRPr="00EF6F04">
        <w:rPr>
          <w:lang w:val="fr-FR"/>
        </w:rPr>
        <w:t>).</w:t>
      </w:r>
    </w:p>
    <w:p w:rsidR="0067215E" w:rsidRPr="00EF6F04" w:rsidRDefault="0067215E"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27</w:t>
      </w:r>
      <w:r w:rsidRPr="00EF6F04">
        <w:rPr>
          <w:lang w:val="fr-FR"/>
        </w:rPr>
        <w:fldChar w:fldCharType="end"/>
      </w:r>
      <w:r w:rsidRPr="00EF6F04">
        <w:rPr>
          <w:lang w:val="fr-FR"/>
        </w:rPr>
        <w:t>.  Bien que prévu comme simple faculté pour la partie, depuis l</w:t>
      </w:r>
      <w:r w:rsidR="00EF6F04" w:rsidRPr="00EF6F04">
        <w:rPr>
          <w:lang w:val="fr-FR"/>
        </w:rPr>
        <w:t>’</w:t>
      </w:r>
      <w:r w:rsidRPr="00EF6F04">
        <w:rPr>
          <w:lang w:val="fr-FR"/>
        </w:rPr>
        <w:t>entrée en vigueur de l</w:t>
      </w:r>
      <w:r w:rsidR="00EF6F04" w:rsidRPr="00EF6F04">
        <w:rPr>
          <w:lang w:val="fr-FR"/>
        </w:rPr>
        <w:t>’</w:t>
      </w:r>
      <w:r w:rsidRPr="00EF6F04">
        <w:rPr>
          <w:lang w:val="fr-FR"/>
        </w:rPr>
        <w:t>article 54 du décret-loi n</w:t>
      </w:r>
      <w:r w:rsidRPr="00EF6F04">
        <w:rPr>
          <w:vertAlign w:val="superscript"/>
          <w:lang w:val="fr-FR"/>
        </w:rPr>
        <w:t>o</w:t>
      </w:r>
      <w:r w:rsidRPr="00EF6F04">
        <w:rPr>
          <w:lang w:val="fr-FR"/>
        </w:rPr>
        <w:t xml:space="preserve"> 112 le 25 juin 2008, ce remède est devenu une condition de recevabilité de tout recours pour se plaindre de la durée excessive d</w:t>
      </w:r>
      <w:r w:rsidR="00EF6F04" w:rsidRPr="00EF6F04">
        <w:rPr>
          <w:lang w:val="fr-FR"/>
        </w:rPr>
        <w:t>’</w:t>
      </w:r>
      <w:r w:rsidRPr="00EF6F04">
        <w:rPr>
          <w:lang w:val="fr-FR"/>
        </w:rPr>
        <w:t>une procédure juridictionnelle administrative. Par conséquent, le Gouvernement récuse les arguments des requérants selon lesquels ils auraient été exemptés de présenter une telle demande accélératoire avant d</w:t>
      </w:r>
      <w:r w:rsidR="00EF6F04" w:rsidRPr="00EF6F04">
        <w:rPr>
          <w:lang w:val="fr-FR"/>
        </w:rPr>
        <w:t>’</w:t>
      </w:r>
      <w:r w:rsidRPr="00EF6F04">
        <w:rPr>
          <w:lang w:val="fr-FR"/>
        </w:rPr>
        <w:t>introduire un recours « Pinto ».</w:t>
      </w:r>
    </w:p>
    <w:p w:rsidR="0067215E" w:rsidRPr="00EF6F04" w:rsidRDefault="0067215E"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28</w:t>
      </w:r>
      <w:r w:rsidRPr="00EF6F04">
        <w:rPr>
          <w:lang w:val="fr-FR"/>
        </w:rPr>
        <w:fldChar w:fldCharType="end"/>
      </w:r>
      <w:r w:rsidRPr="00EF6F04">
        <w:rPr>
          <w:lang w:val="fr-FR"/>
        </w:rPr>
        <w:t xml:space="preserve">.  Quant à la prétendue inapplicabilité </w:t>
      </w:r>
      <w:r w:rsidRPr="00EF6F04">
        <w:rPr>
          <w:i/>
          <w:lang w:val="fr-FR"/>
        </w:rPr>
        <w:t xml:space="preserve">ratione temporis </w:t>
      </w:r>
      <w:r w:rsidRPr="00EF6F04">
        <w:rPr>
          <w:lang w:val="fr-FR"/>
        </w:rPr>
        <w:t>de la norme mentionnée aux procédures juridictionnelles administratives en cours, le Gouvernement indique que cette disposition doit s</w:t>
      </w:r>
      <w:r w:rsidR="00EF6F04" w:rsidRPr="00EF6F04">
        <w:rPr>
          <w:lang w:val="fr-FR"/>
        </w:rPr>
        <w:t>’</w:t>
      </w:r>
      <w:r w:rsidRPr="00EF6F04">
        <w:rPr>
          <w:lang w:val="fr-FR"/>
        </w:rPr>
        <w:t>interpréter dans le sens de son applicabilité aux recours « Pinto » introduits à partir du 25 juin 2008 (date d</w:t>
      </w:r>
      <w:r w:rsidR="00EF6F04" w:rsidRPr="00EF6F04">
        <w:rPr>
          <w:lang w:val="fr-FR"/>
        </w:rPr>
        <w:t>’</w:t>
      </w:r>
      <w:r w:rsidRPr="00EF6F04">
        <w:rPr>
          <w:lang w:val="fr-FR"/>
        </w:rPr>
        <w:t>entrée en vigueur du décret-loi) et non aux procédures administratives engagées à partir de cette même date.</w:t>
      </w:r>
    </w:p>
    <w:p w:rsidR="0067215E" w:rsidRPr="00EF6F04" w:rsidRDefault="0067215E"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29</w:t>
      </w:r>
      <w:r w:rsidRPr="00EF6F04">
        <w:rPr>
          <w:lang w:val="fr-FR"/>
        </w:rPr>
        <w:fldChar w:fldCharType="end"/>
      </w:r>
      <w:r w:rsidRPr="00EF6F04">
        <w:rPr>
          <w:lang w:val="fr-FR"/>
        </w:rPr>
        <w:t>.  En outre, le Gouvernement réfute la thèse des requérants selon laquelle la condition de recevabilité ne serait pas applicable aux procédures juridictionnelles administratives dont la durée dépasse cinq ans. Il ajoute que, même à supposer l</w:t>
      </w:r>
      <w:r w:rsidR="00EF6F04" w:rsidRPr="00EF6F04">
        <w:rPr>
          <w:lang w:val="fr-FR"/>
        </w:rPr>
        <w:t>’</w:t>
      </w:r>
      <w:r w:rsidRPr="00EF6F04">
        <w:rPr>
          <w:lang w:val="fr-FR"/>
        </w:rPr>
        <w:t>existence d</w:t>
      </w:r>
      <w:r w:rsidR="00EF6F04" w:rsidRPr="00EF6F04">
        <w:rPr>
          <w:lang w:val="fr-FR"/>
        </w:rPr>
        <w:t>’</w:t>
      </w:r>
      <w:r w:rsidRPr="00EF6F04">
        <w:rPr>
          <w:lang w:val="fr-FR"/>
        </w:rPr>
        <w:t>une base légale, rien n</w:t>
      </w:r>
      <w:r w:rsidR="00EF6F04" w:rsidRPr="00EF6F04">
        <w:rPr>
          <w:lang w:val="fr-FR"/>
        </w:rPr>
        <w:t>’</w:t>
      </w:r>
      <w:r w:rsidRPr="00EF6F04">
        <w:rPr>
          <w:lang w:val="fr-FR"/>
        </w:rPr>
        <w:t>aurait empêché les requérants de présenter, contextuellement à la demande de fixation de l</w:t>
      </w:r>
      <w:r w:rsidR="00EF6F04" w:rsidRPr="00EF6F04">
        <w:rPr>
          <w:lang w:val="fr-FR"/>
        </w:rPr>
        <w:t>’</w:t>
      </w:r>
      <w:r w:rsidRPr="00EF6F04">
        <w:rPr>
          <w:lang w:val="fr-FR"/>
        </w:rPr>
        <w:t>audience (</w:t>
      </w:r>
      <w:r w:rsidRPr="00EF6F04">
        <w:rPr>
          <w:i/>
          <w:lang w:val="fr-FR"/>
        </w:rPr>
        <w:t>istanza di fissazione dell</w:t>
      </w:r>
      <w:r w:rsidR="00EF6F04" w:rsidRPr="00EF6F04">
        <w:rPr>
          <w:i/>
          <w:lang w:val="fr-FR"/>
        </w:rPr>
        <w:t>’</w:t>
      </w:r>
      <w:r w:rsidRPr="00EF6F04">
        <w:rPr>
          <w:i/>
          <w:lang w:val="fr-FR"/>
        </w:rPr>
        <w:t>udienza</w:t>
      </w:r>
      <w:r w:rsidRPr="00EF6F04">
        <w:rPr>
          <w:lang w:val="fr-FR"/>
        </w:rPr>
        <w:t>), une deuxième demande de fixation en urgence de la date de l</w:t>
      </w:r>
      <w:r w:rsidR="00EF6F04" w:rsidRPr="00EF6F04">
        <w:rPr>
          <w:lang w:val="fr-FR"/>
        </w:rPr>
        <w:t>’</w:t>
      </w:r>
      <w:r w:rsidRPr="00EF6F04">
        <w:rPr>
          <w:lang w:val="fr-FR"/>
        </w:rPr>
        <w:t>audience (</w:t>
      </w:r>
      <w:r w:rsidRPr="00EF6F04">
        <w:rPr>
          <w:i/>
          <w:lang w:val="fr-FR"/>
        </w:rPr>
        <w:t>istanza di prelievo</w:t>
      </w:r>
      <w:r w:rsidRPr="00EF6F04">
        <w:rPr>
          <w:lang w:val="fr-FR"/>
        </w:rPr>
        <w:t>).</w:t>
      </w:r>
    </w:p>
    <w:p w:rsidR="0067215E" w:rsidRPr="00EF6F04" w:rsidRDefault="0067215E" w:rsidP="00EF6F04">
      <w:pPr>
        <w:pStyle w:val="ECHRPara"/>
        <w:rPr>
          <w:rStyle w:val="column01"/>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30</w:t>
      </w:r>
      <w:r w:rsidRPr="00EF6F04">
        <w:rPr>
          <w:lang w:val="fr-FR"/>
        </w:rPr>
        <w:fldChar w:fldCharType="end"/>
      </w:r>
      <w:r w:rsidRPr="00EF6F04">
        <w:rPr>
          <w:lang w:val="fr-FR"/>
        </w:rPr>
        <w:t>.  Enfin, le Gouvernement rejette l</w:t>
      </w:r>
      <w:r w:rsidR="00EF6F04" w:rsidRPr="00EF6F04">
        <w:rPr>
          <w:lang w:val="fr-FR"/>
        </w:rPr>
        <w:t>’</w:t>
      </w:r>
      <w:r w:rsidRPr="00EF6F04">
        <w:rPr>
          <w:lang w:val="fr-FR"/>
        </w:rPr>
        <w:t>argument des requérants sur le conflit entre l</w:t>
      </w:r>
      <w:r w:rsidR="00EF6F04" w:rsidRPr="00EF6F04">
        <w:rPr>
          <w:lang w:val="fr-FR"/>
        </w:rPr>
        <w:t>’</w:t>
      </w:r>
      <w:r w:rsidRPr="00EF6F04">
        <w:rPr>
          <w:lang w:val="fr-FR"/>
        </w:rPr>
        <w:t>application de la norme contestée dans les cas d</w:t>
      </w:r>
      <w:r w:rsidR="00EF6F04" w:rsidRPr="00EF6F04">
        <w:rPr>
          <w:lang w:val="fr-FR"/>
        </w:rPr>
        <w:t>’</w:t>
      </w:r>
      <w:r w:rsidRPr="00EF6F04">
        <w:rPr>
          <w:lang w:val="fr-FR"/>
        </w:rPr>
        <w:t xml:space="preserve">espèce et la jurisprudence de la Cour en la matière, notamment sa décision </w:t>
      </w:r>
      <w:r w:rsidRPr="00EF6F04">
        <w:rPr>
          <w:i/>
          <w:lang w:val="fr-FR"/>
        </w:rPr>
        <w:t>Daddi c.</w:t>
      </w:r>
      <w:r w:rsidR="005B3E42" w:rsidRPr="00EF6F04">
        <w:rPr>
          <w:i/>
          <w:lang w:val="fr-FR"/>
        </w:rPr>
        <w:t> </w:t>
      </w:r>
      <w:r w:rsidRPr="00EF6F04">
        <w:rPr>
          <w:i/>
          <w:lang w:val="fr-FR"/>
        </w:rPr>
        <w:t>Italie</w:t>
      </w:r>
      <w:r w:rsidRPr="00EF6F04">
        <w:rPr>
          <w:lang w:val="fr-FR"/>
        </w:rPr>
        <w:t xml:space="preserve"> ((déc.), n</w:t>
      </w:r>
      <w:r w:rsidRPr="00EF6F04">
        <w:rPr>
          <w:vertAlign w:val="superscript"/>
          <w:lang w:val="fr-FR"/>
        </w:rPr>
        <w:t>o</w:t>
      </w:r>
      <w:r w:rsidRPr="00EF6F04">
        <w:rPr>
          <w:lang w:val="fr-FR"/>
        </w:rPr>
        <w:t xml:space="preserve"> </w:t>
      </w:r>
      <w:r w:rsidRPr="00EF6F04">
        <w:rPr>
          <w:rStyle w:val="column01"/>
          <w:lang w:val="fr-FR"/>
        </w:rPr>
        <w:t>15476/09, 2 juin 2009).</w:t>
      </w:r>
    </w:p>
    <w:p w:rsidR="0067215E" w:rsidRPr="00EF6F04" w:rsidRDefault="0067215E" w:rsidP="00EF6F04">
      <w:pPr>
        <w:pStyle w:val="ECHRHeading3"/>
        <w:rPr>
          <w:lang w:val="fr-FR"/>
        </w:rPr>
      </w:pPr>
      <w:r w:rsidRPr="00EF6F04">
        <w:rPr>
          <w:lang w:val="fr-FR"/>
        </w:rPr>
        <w:t>2.</w:t>
      </w:r>
      <w:r w:rsidR="00C276BB" w:rsidRPr="00EF6F04">
        <w:rPr>
          <w:lang w:val="fr-FR"/>
        </w:rPr>
        <w:t>  </w:t>
      </w:r>
      <w:r w:rsidRPr="00EF6F04">
        <w:rPr>
          <w:lang w:val="fr-FR"/>
        </w:rPr>
        <w:t>Les requérants</w:t>
      </w:r>
    </w:p>
    <w:p w:rsidR="00EF4546" w:rsidRPr="00EF6F04" w:rsidRDefault="006F6AD1"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31</w:t>
      </w:r>
      <w:r w:rsidRPr="00EF6F04">
        <w:rPr>
          <w:lang w:val="fr-FR"/>
        </w:rPr>
        <w:fldChar w:fldCharType="end"/>
      </w:r>
      <w:r w:rsidRPr="00EF6F04">
        <w:rPr>
          <w:lang w:val="fr-FR"/>
        </w:rPr>
        <w:t>.  </w:t>
      </w:r>
      <w:r w:rsidR="009F4425" w:rsidRPr="00EF6F04">
        <w:rPr>
          <w:lang w:val="fr-FR"/>
        </w:rPr>
        <w:t xml:space="preserve">Les requérants </w:t>
      </w:r>
      <w:r w:rsidR="00024837" w:rsidRPr="00EF6F04">
        <w:rPr>
          <w:lang w:val="fr-FR"/>
        </w:rPr>
        <w:t>soutiennent qu</w:t>
      </w:r>
      <w:r w:rsidR="00D255F4" w:rsidRPr="00EF6F04">
        <w:rPr>
          <w:lang w:val="fr-FR"/>
        </w:rPr>
        <w:t>e</w:t>
      </w:r>
      <w:r w:rsidR="00A8205B" w:rsidRPr="00EF6F04">
        <w:rPr>
          <w:lang w:val="fr-FR"/>
        </w:rPr>
        <w:t xml:space="preserve"> </w:t>
      </w:r>
      <w:r w:rsidR="00E2352D" w:rsidRPr="00EF6F04">
        <w:rPr>
          <w:lang w:val="fr-FR"/>
        </w:rPr>
        <w:t>l</w:t>
      </w:r>
      <w:r w:rsidR="00EF6F04" w:rsidRPr="00EF6F04">
        <w:rPr>
          <w:lang w:val="fr-FR"/>
        </w:rPr>
        <w:t>’</w:t>
      </w:r>
      <w:r w:rsidR="009D1A45" w:rsidRPr="00EF6F04">
        <w:rPr>
          <w:lang w:val="fr-FR"/>
        </w:rPr>
        <w:t>obligation de présen</w:t>
      </w:r>
      <w:r w:rsidR="00D508A5" w:rsidRPr="00EF6F04">
        <w:rPr>
          <w:lang w:val="fr-FR"/>
        </w:rPr>
        <w:t>ter la demande de fixation en urgence de l</w:t>
      </w:r>
      <w:r w:rsidR="00993261" w:rsidRPr="00EF6F04">
        <w:rPr>
          <w:lang w:val="fr-FR"/>
        </w:rPr>
        <w:t>a date de l</w:t>
      </w:r>
      <w:r w:rsidR="00EF6F04" w:rsidRPr="00EF6F04">
        <w:rPr>
          <w:lang w:val="fr-FR"/>
        </w:rPr>
        <w:t>’</w:t>
      </w:r>
      <w:r w:rsidR="00D508A5" w:rsidRPr="00EF6F04">
        <w:rPr>
          <w:lang w:val="fr-FR"/>
        </w:rPr>
        <w:t>audience</w:t>
      </w:r>
      <w:r w:rsidR="001D057F" w:rsidRPr="00EF6F04">
        <w:rPr>
          <w:lang w:val="fr-FR"/>
        </w:rPr>
        <w:t xml:space="preserve"> n</w:t>
      </w:r>
      <w:r w:rsidR="00EF6F04" w:rsidRPr="00EF6F04">
        <w:rPr>
          <w:lang w:val="fr-FR"/>
        </w:rPr>
        <w:t>’</w:t>
      </w:r>
      <w:r w:rsidR="001D057F" w:rsidRPr="00EF6F04">
        <w:rPr>
          <w:lang w:val="fr-FR"/>
        </w:rPr>
        <w:t>est</w:t>
      </w:r>
      <w:r w:rsidR="00D32B61" w:rsidRPr="00EF6F04">
        <w:rPr>
          <w:lang w:val="fr-FR"/>
        </w:rPr>
        <w:t xml:space="preserve"> pas </w:t>
      </w:r>
      <w:r w:rsidR="001D057F" w:rsidRPr="00EF6F04">
        <w:rPr>
          <w:lang w:val="fr-FR"/>
        </w:rPr>
        <w:t>applicable</w:t>
      </w:r>
      <w:r w:rsidR="00D32B61" w:rsidRPr="00EF6F04">
        <w:rPr>
          <w:lang w:val="fr-FR"/>
        </w:rPr>
        <w:t xml:space="preserve"> </w:t>
      </w:r>
      <w:r w:rsidR="00026B9F" w:rsidRPr="00EF6F04">
        <w:rPr>
          <w:i/>
          <w:lang w:val="fr-FR"/>
        </w:rPr>
        <w:t>ratione temporis</w:t>
      </w:r>
      <w:r w:rsidR="00026B9F" w:rsidRPr="00EF6F04">
        <w:rPr>
          <w:lang w:val="fr-FR"/>
        </w:rPr>
        <w:t xml:space="preserve"> </w:t>
      </w:r>
      <w:r w:rsidR="00D32B61" w:rsidRPr="00EF6F04">
        <w:rPr>
          <w:lang w:val="fr-FR"/>
        </w:rPr>
        <w:t>à leurs cas</w:t>
      </w:r>
      <w:r w:rsidR="00026B9F" w:rsidRPr="00EF6F04">
        <w:rPr>
          <w:lang w:val="fr-FR"/>
        </w:rPr>
        <w:t xml:space="preserve"> car les</w:t>
      </w:r>
      <w:r w:rsidR="00D32B61" w:rsidRPr="00EF6F04">
        <w:rPr>
          <w:lang w:val="fr-FR"/>
        </w:rPr>
        <w:t xml:space="preserve"> procédures </w:t>
      </w:r>
      <w:r w:rsidR="00026B9F" w:rsidRPr="00EF6F04">
        <w:rPr>
          <w:lang w:val="fr-FR"/>
        </w:rPr>
        <w:t xml:space="preserve">étaient </w:t>
      </w:r>
      <w:r w:rsidR="00B46AC0" w:rsidRPr="00EF6F04">
        <w:rPr>
          <w:lang w:val="fr-FR"/>
        </w:rPr>
        <w:t>en cours à</w:t>
      </w:r>
      <w:r w:rsidR="00D32B61" w:rsidRPr="00EF6F04">
        <w:rPr>
          <w:lang w:val="fr-FR"/>
        </w:rPr>
        <w:t xml:space="preserve"> la date d</w:t>
      </w:r>
      <w:r w:rsidR="00EF6F04" w:rsidRPr="00EF6F04">
        <w:rPr>
          <w:lang w:val="fr-FR"/>
        </w:rPr>
        <w:t>’</w:t>
      </w:r>
      <w:r w:rsidR="00D32B61" w:rsidRPr="00EF6F04">
        <w:rPr>
          <w:lang w:val="fr-FR"/>
        </w:rPr>
        <w:t>entrée en vigueur d</w:t>
      </w:r>
      <w:r w:rsidR="00BB20D8" w:rsidRPr="00EF6F04">
        <w:rPr>
          <w:lang w:val="fr-FR"/>
        </w:rPr>
        <w:t>u décret-loi n</w:t>
      </w:r>
      <w:r w:rsidR="006317C1" w:rsidRPr="00EF6F04">
        <w:rPr>
          <w:vertAlign w:val="superscript"/>
          <w:lang w:val="fr-FR"/>
        </w:rPr>
        <w:t>o</w:t>
      </w:r>
      <w:r w:rsidR="00BB20D8" w:rsidRPr="00EF6F04">
        <w:rPr>
          <w:lang w:val="fr-FR"/>
        </w:rPr>
        <w:t xml:space="preserve"> 112 de 2008</w:t>
      </w:r>
      <w:r w:rsidR="00D32B61" w:rsidRPr="00EF6F04">
        <w:rPr>
          <w:lang w:val="fr-FR"/>
        </w:rPr>
        <w:t>, à savoir le 2</w:t>
      </w:r>
      <w:r w:rsidR="00BB20D8" w:rsidRPr="00EF6F04">
        <w:rPr>
          <w:lang w:val="fr-FR"/>
        </w:rPr>
        <w:t>5 juin</w:t>
      </w:r>
      <w:r w:rsidR="00D32B61" w:rsidRPr="00EF6F04">
        <w:rPr>
          <w:lang w:val="fr-FR"/>
        </w:rPr>
        <w:t xml:space="preserve"> 2008. En tout état de cause</w:t>
      </w:r>
      <w:r w:rsidR="00520AC2" w:rsidRPr="00EF6F04">
        <w:rPr>
          <w:lang w:val="fr-FR"/>
        </w:rPr>
        <w:t>,</w:t>
      </w:r>
      <w:r w:rsidR="00D32B61" w:rsidRPr="00EF6F04">
        <w:rPr>
          <w:lang w:val="fr-FR"/>
        </w:rPr>
        <w:t xml:space="preserve"> ce</w:t>
      </w:r>
      <w:r w:rsidR="00B46AC0" w:rsidRPr="00EF6F04">
        <w:rPr>
          <w:lang w:val="fr-FR"/>
        </w:rPr>
        <w:t>tte obligation</w:t>
      </w:r>
      <w:r w:rsidR="00D32B61" w:rsidRPr="00EF6F04">
        <w:rPr>
          <w:lang w:val="fr-FR"/>
        </w:rPr>
        <w:t xml:space="preserve"> ne s</w:t>
      </w:r>
      <w:r w:rsidR="00EF6F04" w:rsidRPr="00EF6F04">
        <w:rPr>
          <w:lang w:val="fr-FR"/>
        </w:rPr>
        <w:t>’</w:t>
      </w:r>
      <w:r w:rsidR="00B46AC0" w:rsidRPr="00EF6F04">
        <w:rPr>
          <w:lang w:val="fr-FR"/>
        </w:rPr>
        <w:t>imposerai</w:t>
      </w:r>
      <w:r w:rsidR="00D32B61" w:rsidRPr="00EF6F04">
        <w:rPr>
          <w:lang w:val="fr-FR"/>
        </w:rPr>
        <w:t xml:space="preserve">t pas aux procédures ayant </w:t>
      </w:r>
      <w:r w:rsidR="009D1A45" w:rsidRPr="00EF6F04">
        <w:rPr>
          <w:lang w:val="fr-FR"/>
        </w:rPr>
        <w:t xml:space="preserve">dépassé </w:t>
      </w:r>
      <w:r w:rsidR="00520AC2" w:rsidRPr="00EF6F04">
        <w:rPr>
          <w:lang w:val="fr-FR"/>
        </w:rPr>
        <w:t>une durée de</w:t>
      </w:r>
      <w:r w:rsidR="009D1A45" w:rsidRPr="00EF6F04">
        <w:rPr>
          <w:lang w:val="fr-FR"/>
        </w:rPr>
        <w:t xml:space="preserve"> cinq ans.</w:t>
      </w:r>
      <w:r w:rsidR="00D32B61" w:rsidRPr="00EF6F04">
        <w:rPr>
          <w:lang w:val="fr-FR"/>
        </w:rPr>
        <w:t xml:space="preserve"> </w:t>
      </w:r>
      <w:r w:rsidR="00026B9F" w:rsidRPr="00EF6F04">
        <w:rPr>
          <w:lang w:val="fr-FR"/>
        </w:rPr>
        <w:t>Les requérants</w:t>
      </w:r>
      <w:r w:rsidR="00D32B61" w:rsidRPr="00EF6F04">
        <w:rPr>
          <w:lang w:val="fr-FR"/>
        </w:rPr>
        <w:t xml:space="preserve"> dénoncent en conclusion de ne pas avoir d</w:t>
      </w:r>
      <w:r w:rsidR="00B46AC0" w:rsidRPr="00EF6F04">
        <w:rPr>
          <w:lang w:val="fr-FR"/>
        </w:rPr>
        <w:t>isposé d</w:t>
      </w:r>
      <w:r w:rsidR="00EF6F04" w:rsidRPr="00EF6F04">
        <w:rPr>
          <w:lang w:val="fr-FR"/>
        </w:rPr>
        <w:t>’</w:t>
      </w:r>
      <w:r w:rsidR="00B46AC0" w:rsidRPr="00EF6F04">
        <w:rPr>
          <w:lang w:val="fr-FR"/>
        </w:rPr>
        <w:t>un remède interne efficace</w:t>
      </w:r>
      <w:r w:rsidR="00D32B61" w:rsidRPr="00EF6F04">
        <w:rPr>
          <w:lang w:val="fr-FR"/>
        </w:rPr>
        <w:t xml:space="preserve"> pour se plaindre de la durée excessive de la procédure.</w:t>
      </w:r>
    </w:p>
    <w:p w:rsidR="0067215E" w:rsidRPr="00EF6F04" w:rsidRDefault="006F6891"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32</w:t>
      </w:r>
      <w:r w:rsidRPr="00EF6F04">
        <w:rPr>
          <w:lang w:val="fr-FR"/>
        </w:rPr>
        <w:fldChar w:fldCharType="end"/>
      </w:r>
      <w:r w:rsidRPr="00EF6F04">
        <w:rPr>
          <w:lang w:val="fr-FR"/>
        </w:rPr>
        <w:t>.  Plus en détail</w:t>
      </w:r>
      <w:r w:rsidR="0067215E" w:rsidRPr="00EF6F04">
        <w:rPr>
          <w:lang w:val="fr-FR"/>
        </w:rPr>
        <w:t xml:space="preserve">, les requérants allèguent que la nouvelle disposition prescrit une obligation contraire à la jurisprudence nationale antérieure, qui avait nié une quelconque valeur juridique à la présentation de la demande dite </w:t>
      </w:r>
      <w:r w:rsidR="0067215E" w:rsidRPr="00EF6F04">
        <w:rPr>
          <w:i/>
          <w:lang w:val="fr-FR"/>
        </w:rPr>
        <w:t>istanza di prelievo</w:t>
      </w:r>
      <w:r w:rsidR="0067215E" w:rsidRPr="00EF6F04">
        <w:rPr>
          <w:lang w:val="fr-FR"/>
        </w:rPr>
        <w:t>.</w:t>
      </w:r>
      <w:r w:rsidRPr="00EF6F04">
        <w:rPr>
          <w:lang w:val="fr-FR"/>
        </w:rPr>
        <w:t xml:space="preserve"> Ladite disposition, tel qu</w:t>
      </w:r>
      <w:r w:rsidR="00EF6F04" w:rsidRPr="00EF6F04">
        <w:rPr>
          <w:lang w:val="fr-FR"/>
        </w:rPr>
        <w:t>’</w:t>
      </w:r>
      <w:r w:rsidR="00026B9F" w:rsidRPr="00EF6F04">
        <w:rPr>
          <w:lang w:val="fr-FR"/>
        </w:rPr>
        <w:t>interprétée</w:t>
      </w:r>
      <w:r w:rsidRPr="00EF6F04">
        <w:rPr>
          <w:lang w:val="fr-FR"/>
        </w:rPr>
        <w:t xml:space="preserve"> dans les cas d</w:t>
      </w:r>
      <w:r w:rsidR="00EF6F04" w:rsidRPr="00EF6F04">
        <w:rPr>
          <w:lang w:val="fr-FR"/>
        </w:rPr>
        <w:t>’</w:t>
      </w:r>
      <w:r w:rsidRPr="00EF6F04">
        <w:rPr>
          <w:lang w:val="fr-FR"/>
        </w:rPr>
        <w:t>espèce, serait également en conflit avec la jurisprudence de la Cour élaborée dans la décision</w:t>
      </w:r>
      <w:r w:rsidRPr="00EF6F04">
        <w:rPr>
          <w:i/>
          <w:lang w:val="fr-FR"/>
        </w:rPr>
        <w:t xml:space="preserve"> Daddi </w:t>
      </w:r>
      <w:r w:rsidRPr="00EF6F04">
        <w:rPr>
          <w:lang w:val="fr-FR"/>
        </w:rPr>
        <w:t>(</w:t>
      </w:r>
      <w:r w:rsidRPr="00EF6F04">
        <w:rPr>
          <w:i/>
          <w:lang w:val="fr-FR"/>
        </w:rPr>
        <w:t>précitée</w:t>
      </w:r>
      <w:r w:rsidRPr="00EF6F04">
        <w:rPr>
          <w:lang w:val="fr-FR"/>
        </w:rPr>
        <w:t>).</w:t>
      </w:r>
    </w:p>
    <w:p w:rsidR="0067215E" w:rsidRPr="00EF6F04" w:rsidRDefault="0067215E" w:rsidP="00EF6F04">
      <w:pPr>
        <w:pStyle w:val="ECHRPara"/>
        <w:rPr>
          <w:lang w:val="fr-FR"/>
        </w:rPr>
      </w:pPr>
      <w:r w:rsidRPr="00EF6F04">
        <w:rPr>
          <w:lang w:val="fr-FR"/>
        </w:rPr>
        <w:lastRenderedPageBreak/>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33</w:t>
      </w:r>
      <w:r w:rsidRPr="00EF6F04">
        <w:rPr>
          <w:lang w:val="fr-FR"/>
        </w:rPr>
        <w:fldChar w:fldCharType="end"/>
      </w:r>
      <w:r w:rsidRPr="00EF6F04">
        <w:rPr>
          <w:lang w:val="fr-FR"/>
        </w:rPr>
        <w:t>.  Enfin, ils soulignent que la législation nationale distinguerait les procédures ayant eu une durée inférieure à cinq ans de celles ayant dépassé ce délai. Dans ce deuxième cas, la loi disposerait que le greffe du TAR doit signifier à la partie demanderesse un avis portant sur l</w:t>
      </w:r>
      <w:r w:rsidR="00EF6F04" w:rsidRPr="00EF6F04">
        <w:rPr>
          <w:lang w:val="fr-FR"/>
        </w:rPr>
        <w:t>’</w:t>
      </w:r>
      <w:r w:rsidRPr="00EF6F04">
        <w:rPr>
          <w:lang w:val="fr-FR"/>
        </w:rPr>
        <w:t>obligation de présenter une demande de fixation de l</w:t>
      </w:r>
      <w:r w:rsidR="00EF6F04" w:rsidRPr="00EF6F04">
        <w:rPr>
          <w:lang w:val="fr-FR"/>
        </w:rPr>
        <w:t>’</w:t>
      </w:r>
      <w:r w:rsidRPr="00EF6F04">
        <w:rPr>
          <w:lang w:val="fr-FR"/>
        </w:rPr>
        <w:t>audience (</w:t>
      </w:r>
      <w:r w:rsidRPr="00EF6F04">
        <w:rPr>
          <w:i/>
          <w:lang w:val="fr-FR"/>
        </w:rPr>
        <w:t>istanza di fissazione dell</w:t>
      </w:r>
      <w:r w:rsidR="00EF6F04" w:rsidRPr="00EF6F04">
        <w:rPr>
          <w:i/>
          <w:lang w:val="fr-FR"/>
        </w:rPr>
        <w:t>’</w:t>
      </w:r>
      <w:r w:rsidRPr="00EF6F04">
        <w:rPr>
          <w:i/>
          <w:lang w:val="fr-FR"/>
        </w:rPr>
        <w:t>udienza</w:t>
      </w:r>
      <w:r w:rsidRPr="00EF6F04">
        <w:rPr>
          <w:lang w:val="fr-FR"/>
        </w:rPr>
        <w:t>) afin d</w:t>
      </w:r>
      <w:r w:rsidR="00EF6F04" w:rsidRPr="00EF6F04">
        <w:rPr>
          <w:lang w:val="fr-FR"/>
        </w:rPr>
        <w:t>’</w:t>
      </w:r>
      <w:r w:rsidRPr="00EF6F04">
        <w:rPr>
          <w:lang w:val="fr-FR"/>
        </w:rPr>
        <w:t>éviter la péremption de l</w:t>
      </w:r>
      <w:r w:rsidR="00EF6F04" w:rsidRPr="00EF6F04">
        <w:rPr>
          <w:lang w:val="fr-FR"/>
        </w:rPr>
        <w:t>’</w:t>
      </w:r>
      <w:r w:rsidRPr="00EF6F04">
        <w:rPr>
          <w:lang w:val="fr-FR"/>
        </w:rPr>
        <w:t>affaire. À défaut de cet avis, la partie ne pourrait pas présenter cette demande</w:t>
      </w:r>
      <w:r w:rsidR="00026B9F" w:rsidRPr="00EF6F04">
        <w:rPr>
          <w:lang w:val="fr-FR"/>
        </w:rPr>
        <w:t xml:space="preserve"> et</w:t>
      </w:r>
      <w:r w:rsidRPr="00EF6F04">
        <w:rPr>
          <w:lang w:val="fr-FR"/>
        </w:rPr>
        <w:t xml:space="preserve"> l</w:t>
      </w:r>
      <w:r w:rsidR="00EF6F04" w:rsidRPr="00EF6F04">
        <w:rPr>
          <w:lang w:val="fr-FR"/>
        </w:rPr>
        <w:t>’</w:t>
      </w:r>
      <w:r w:rsidRPr="00EF6F04">
        <w:rPr>
          <w:i/>
          <w:lang w:val="fr-FR"/>
        </w:rPr>
        <w:t>istanza di prelievo</w:t>
      </w:r>
      <w:r w:rsidRPr="00EF6F04">
        <w:rPr>
          <w:lang w:val="fr-FR"/>
        </w:rPr>
        <w:t xml:space="preserve"> </w:t>
      </w:r>
      <w:r w:rsidR="00026B9F" w:rsidRPr="00EF6F04">
        <w:rPr>
          <w:lang w:val="fr-FR"/>
        </w:rPr>
        <w:t>n</w:t>
      </w:r>
      <w:r w:rsidR="00EF6F04" w:rsidRPr="00EF6F04">
        <w:rPr>
          <w:lang w:val="fr-FR"/>
        </w:rPr>
        <w:t>’</w:t>
      </w:r>
      <w:r w:rsidR="00026B9F" w:rsidRPr="00EF6F04">
        <w:rPr>
          <w:lang w:val="fr-FR"/>
        </w:rPr>
        <w:t>éviterait pas</w:t>
      </w:r>
      <w:r w:rsidRPr="00EF6F04">
        <w:rPr>
          <w:lang w:val="fr-FR"/>
        </w:rPr>
        <w:t xml:space="preserve"> la péremption. Par conséquent, selon les requérants, la partie serait obligée </w:t>
      </w:r>
      <w:r w:rsidR="00026B9F" w:rsidRPr="00EF6F04">
        <w:rPr>
          <w:lang w:val="fr-FR"/>
        </w:rPr>
        <w:t>d</w:t>
      </w:r>
      <w:r w:rsidR="00EF6F04" w:rsidRPr="00EF6F04">
        <w:rPr>
          <w:lang w:val="fr-FR"/>
        </w:rPr>
        <w:t>’</w:t>
      </w:r>
      <w:r w:rsidRPr="00EF6F04">
        <w:rPr>
          <w:lang w:val="fr-FR"/>
        </w:rPr>
        <w:t>attendre l</w:t>
      </w:r>
      <w:r w:rsidR="00EF6F04" w:rsidRPr="00EF6F04">
        <w:rPr>
          <w:lang w:val="fr-FR"/>
        </w:rPr>
        <w:t>’</w:t>
      </w:r>
      <w:r w:rsidRPr="00EF6F04">
        <w:rPr>
          <w:lang w:val="fr-FR"/>
        </w:rPr>
        <w:t>avis du greffe du TAR, puis tenue à présenter une demande de fixation de l</w:t>
      </w:r>
      <w:r w:rsidR="00EF6F04" w:rsidRPr="00EF6F04">
        <w:rPr>
          <w:lang w:val="fr-FR"/>
        </w:rPr>
        <w:t>’</w:t>
      </w:r>
      <w:r w:rsidRPr="00EF6F04">
        <w:rPr>
          <w:lang w:val="fr-FR"/>
        </w:rPr>
        <w:t>audience et seulement après elle pourrait introduire aussi un</w:t>
      </w:r>
      <w:r w:rsidR="001E3B07" w:rsidRPr="00EF6F04">
        <w:rPr>
          <w:lang w:val="fr-FR"/>
        </w:rPr>
        <w:t>e « </w:t>
      </w:r>
      <w:r w:rsidRPr="00EF6F04">
        <w:rPr>
          <w:i/>
          <w:lang w:val="fr-FR"/>
        </w:rPr>
        <w:t>istanza di prelievo</w:t>
      </w:r>
      <w:r w:rsidR="001E3B07" w:rsidRPr="00EF6F04">
        <w:rPr>
          <w:i/>
          <w:lang w:val="fr-FR"/>
        </w:rPr>
        <w:t> »</w:t>
      </w:r>
      <w:r w:rsidRPr="00EF6F04">
        <w:rPr>
          <w:lang w:val="fr-FR"/>
        </w:rPr>
        <w:t>.</w:t>
      </w:r>
    </w:p>
    <w:p w:rsidR="0067215E" w:rsidRPr="00EF6F04" w:rsidRDefault="009F3294"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34</w:t>
      </w:r>
      <w:r w:rsidRPr="00EF6F04">
        <w:rPr>
          <w:lang w:val="fr-FR"/>
        </w:rPr>
        <w:fldChar w:fldCharType="end"/>
      </w:r>
      <w:r w:rsidRPr="00EF6F04">
        <w:rPr>
          <w:lang w:val="fr-FR"/>
        </w:rPr>
        <w:t>.  </w:t>
      </w:r>
      <w:r w:rsidR="006F6891" w:rsidRPr="00EF6F04">
        <w:rPr>
          <w:lang w:val="fr-FR"/>
        </w:rPr>
        <w:t>En ce qui concerne leur qualité de « victime », l</w:t>
      </w:r>
      <w:r w:rsidRPr="00EF6F04">
        <w:rPr>
          <w:lang w:val="fr-FR"/>
        </w:rPr>
        <w:t>es requérants indiquent qu</w:t>
      </w:r>
      <w:r w:rsidR="00EF6F04" w:rsidRPr="00EF6F04">
        <w:rPr>
          <w:lang w:val="fr-FR"/>
        </w:rPr>
        <w:t>’</w:t>
      </w:r>
      <w:r w:rsidRPr="00EF6F04">
        <w:rPr>
          <w:lang w:val="fr-FR"/>
        </w:rPr>
        <w:t>à niveau interne il n</w:t>
      </w:r>
      <w:r w:rsidR="00EF6F04" w:rsidRPr="00EF6F04">
        <w:rPr>
          <w:lang w:val="fr-FR"/>
        </w:rPr>
        <w:t>’</w:t>
      </w:r>
      <w:r w:rsidRPr="00EF6F04">
        <w:rPr>
          <w:lang w:val="fr-FR"/>
        </w:rPr>
        <w:t>est pas contesté que le préjudice subi à cause de la durée excessive de la procédure est transmissible à l</w:t>
      </w:r>
      <w:r w:rsidR="00EF6F04" w:rsidRPr="00EF6F04">
        <w:rPr>
          <w:lang w:val="fr-FR"/>
        </w:rPr>
        <w:t>’</w:t>
      </w:r>
      <w:r w:rsidRPr="00EF6F04">
        <w:rPr>
          <w:lang w:val="fr-FR"/>
        </w:rPr>
        <w:t xml:space="preserve">héritier qui se constitue dans la même procédure. Ce dernier a également la capacité à agir en justice </w:t>
      </w:r>
      <w:r w:rsidRPr="00EF6F04">
        <w:rPr>
          <w:i/>
          <w:lang w:val="fr-FR"/>
        </w:rPr>
        <w:t>de iure ereditario</w:t>
      </w:r>
      <w:r w:rsidRPr="00EF6F04">
        <w:rPr>
          <w:lang w:val="fr-FR"/>
        </w:rPr>
        <w:t xml:space="preserve"> devant les juridictions « Pinto » </w:t>
      </w:r>
      <w:r w:rsidR="003D48E7" w:rsidRPr="00EF6F04">
        <w:rPr>
          <w:lang w:val="fr-FR"/>
        </w:rPr>
        <w:t>pour obtenir, le cas échéant, un</w:t>
      </w:r>
      <w:r w:rsidRPr="00EF6F04">
        <w:rPr>
          <w:lang w:val="fr-FR"/>
        </w:rPr>
        <w:t xml:space="preserve"> redressement </w:t>
      </w:r>
      <w:r w:rsidR="003D48E7" w:rsidRPr="00EF6F04">
        <w:rPr>
          <w:lang w:val="fr-FR"/>
        </w:rPr>
        <w:t>de la violation alléguée</w:t>
      </w:r>
      <w:r w:rsidRPr="00EF6F04">
        <w:rPr>
          <w:lang w:val="fr-FR"/>
        </w:rPr>
        <w:t>.</w:t>
      </w:r>
    </w:p>
    <w:p w:rsidR="00ED71F9" w:rsidRPr="00EF6F04" w:rsidRDefault="00ED71F9" w:rsidP="00EF6F04">
      <w:pPr>
        <w:pStyle w:val="ECHRHeading2"/>
        <w:rPr>
          <w:lang w:val="fr-FR"/>
        </w:rPr>
      </w:pPr>
      <w:r w:rsidRPr="00EF6F04">
        <w:rPr>
          <w:lang w:val="fr-FR"/>
        </w:rPr>
        <w:t>B.  Appréciation de la Cour</w:t>
      </w:r>
    </w:p>
    <w:p w:rsidR="009967D8" w:rsidRPr="00EF6F04" w:rsidRDefault="00C276BB" w:rsidP="00EF6F04">
      <w:pPr>
        <w:pStyle w:val="ECHRHeading3"/>
        <w:rPr>
          <w:lang w:val="fr-FR"/>
        </w:rPr>
      </w:pPr>
      <w:r w:rsidRPr="00EF6F04">
        <w:rPr>
          <w:lang w:val="fr-FR"/>
        </w:rPr>
        <w:t>1.  </w:t>
      </w:r>
      <w:r w:rsidR="009967D8" w:rsidRPr="00EF6F04">
        <w:rPr>
          <w:lang w:val="fr-FR"/>
        </w:rPr>
        <w:t>Sur la recevabilité</w:t>
      </w:r>
    </w:p>
    <w:p w:rsidR="007A24E4" w:rsidRPr="00EF6F04" w:rsidRDefault="00ED71F9"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35</w:t>
      </w:r>
      <w:r w:rsidRPr="00EF6F04">
        <w:rPr>
          <w:lang w:val="fr-FR"/>
        </w:rPr>
        <w:fldChar w:fldCharType="end"/>
      </w:r>
      <w:r w:rsidRPr="00EF6F04">
        <w:rPr>
          <w:lang w:val="fr-FR"/>
        </w:rPr>
        <w:t>.  La Cour considère que l</w:t>
      </w:r>
      <w:r w:rsidR="00EF6F04" w:rsidRPr="00EF6F04">
        <w:rPr>
          <w:lang w:val="fr-FR"/>
        </w:rPr>
        <w:t>’</w:t>
      </w:r>
      <w:r w:rsidR="009F3294" w:rsidRPr="00EF6F04">
        <w:rPr>
          <w:lang w:val="fr-FR"/>
        </w:rPr>
        <w:t>exception de</w:t>
      </w:r>
      <w:r w:rsidRPr="00EF6F04">
        <w:rPr>
          <w:lang w:val="fr-FR"/>
        </w:rPr>
        <w:t xml:space="preserve"> non-épuisement</w:t>
      </w:r>
      <w:r w:rsidR="006A697D" w:rsidRPr="00EF6F04">
        <w:rPr>
          <w:lang w:val="fr-FR"/>
        </w:rPr>
        <w:t xml:space="preserve"> des voies de recours internes</w:t>
      </w:r>
      <w:r w:rsidR="00D96EAC" w:rsidRPr="00EF6F04">
        <w:rPr>
          <w:lang w:val="fr-FR"/>
        </w:rPr>
        <w:t>, soulevé</w:t>
      </w:r>
      <w:r w:rsidR="00BC6415" w:rsidRPr="00EF6F04">
        <w:rPr>
          <w:lang w:val="fr-FR"/>
        </w:rPr>
        <w:t>e</w:t>
      </w:r>
      <w:r w:rsidR="00D96EAC" w:rsidRPr="00EF6F04">
        <w:rPr>
          <w:lang w:val="fr-FR"/>
        </w:rPr>
        <w:t xml:space="preserve"> par le Gouvernement défendeur au titre de l</w:t>
      </w:r>
      <w:r w:rsidR="00EF6F04" w:rsidRPr="00EF6F04">
        <w:rPr>
          <w:lang w:val="fr-FR"/>
        </w:rPr>
        <w:t>’</w:t>
      </w:r>
      <w:r w:rsidR="00D96EAC" w:rsidRPr="00EF6F04">
        <w:rPr>
          <w:lang w:val="fr-FR"/>
        </w:rPr>
        <w:t>article</w:t>
      </w:r>
      <w:r w:rsidR="006F6891" w:rsidRPr="00EF6F04">
        <w:rPr>
          <w:lang w:val="fr-FR"/>
        </w:rPr>
        <w:t xml:space="preserve"> 6 § 1 de la Convention</w:t>
      </w:r>
      <w:r w:rsidR="00D96EAC" w:rsidRPr="00EF6F04">
        <w:rPr>
          <w:lang w:val="fr-FR"/>
        </w:rPr>
        <w:t>,</w:t>
      </w:r>
      <w:r w:rsidR="006F6891" w:rsidRPr="00EF6F04">
        <w:rPr>
          <w:lang w:val="fr-FR"/>
        </w:rPr>
        <w:t xml:space="preserve"> </w:t>
      </w:r>
      <w:r w:rsidR="007A24E4" w:rsidRPr="00EF6F04">
        <w:rPr>
          <w:lang w:val="fr-FR"/>
        </w:rPr>
        <w:t>est étroitement liée à celle de l</w:t>
      </w:r>
      <w:r w:rsidR="00EF6F04" w:rsidRPr="00EF6F04">
        <w:rPr>
          <w:lang w:val="fr-FR"/>
        </w:rPr>
        <w:t>’</w:t>
      </w:r>
      <w:r w:rsidR="00F45F6D" w:rsidRPr="00EF6F04">
        <w:rPr>
          <w:lang w:val="fr-FR"/>
        </w:rPr>
        <w:t>existence d</w:t>
      </w:r>
      <w:r w:rsidR="00EF6F04" w:rsidRPr="00EF6F04">
        <w:rPr>
          <w:lang w:val="fr-FR"/>
        </w:rPr>
        <w:t>’</w:t>
      </w:r>
      <w:r w:rsidR="00F45F6D" w:rsidRPr="00EF6F04">
        <w:rPr>
          <w:lang w:val="fr-FR"/>
        </w:rPr>
        <w:t xml:space="preserve">un recours effectif </w:t>
      </w:r>
      <w:r w:rsidR="007A24E4" w:rsidRPr="00EF6F04">
        <w:rPr>
          <w:lang w:val="fr-FR"/>
        </w:rPr>
        <w:t>au sens de l</w:t>
      </w:r>
      <w:r w:rsidR="00EF6F04" w:rsidRPr="00EF6F04">
        <w:rPr>
          <w:lang w:val="fr-FR"/>
        </w:rPr>
        <w:t>’</w:t>
      </w:r>
      <w:r w:rsidR="007A24E4" w:rsidRPr="00EF6F04">
        <w:rPr>
          <w:lang w:val="fr-FR"/>
        </w:rPr>
        <w:t>article 13 de la Convention</w:t>
      </w:r>
      <w:r w:rsidR="00717C05" w:rsidRPr="00EF6F04">
        <w:rPr>
          <w:lang w:val="fr-FR"/>
        </w:rPr>
        <w:t xml:space="preserve"> </w:t>
      </w:r>
      <w:r w:rsidR="009F00CA" w:rsidRPr="00EF6F04">
        <w:rPr>
          <w:lang w:val="fr-FR"/>
        </w:rPr>
        <w:t xml:space="preserve">(voir </w:t>
      </w:r>
      <w:r w:rsidR="00384D99" w:rsidRPr="00EF6F04">
        <w:rPr>
          <w:i/>
          <w:lang w:val="fr-FR"/>
        </w:rPr>
        <w:t xml:space="preserve">McFarlane c. Irlande </w:t>
      </w:r>
      <w:r w:rsidR="00384D99" w:rsidRPr="00EF6F04">
        <w:rPr>
          <w:lang w:val="fr-FR"/>
        </w:rPr>
        <w:t>[GC], n</w:t>
      </w:r>
      <w:r w:rsidR="00384D99" w:rsidRPr="00EF6F04">
        <w:rPr>
          <w:vertAlign w:val="superscript"/>
          <w:lang w:val="fr-FR"/>
        </w:rPr>
        <w:t>o</w:t>
      </w:r>
      <w:r w:rsidR="00384D99" w:rsidRPr="00EF6F04">
        <w:rPr>
          <w:lang w:val="fr-FR"/>
        </w:rPr>
        <w:t xml:space="preserve"> 31333/06, § 75, 10 septembre 2010 ; </w:t>
      </w:r>
      <w:r w:rsidR="00AF5649" w:rsidRPr="00EF6F04">
        <w:rPr>
          <w:i/>
          <w:lang w:val="fr-FR"/>
        </w:rPr>
        <w:t>Panju c. </w:t>
      </w:r>
      <w:r w:rsidR="00384D99" w:rsidRPr="00EF6F04">
        <w:rPr>
          <w:i/>
          <w:lang w:val="fr-FR"/>
        </w:rPr>
        <w:t>Belgique</w:t>
      </w:r>
      <w:r w:rsidR="00384D99" w:rsidRPr="00EF6F04">
        <w:rPr>
          <w:lang w:val="fr-FR"/>
        </w:rPr>
        <w:t>, n</w:t>
      </w:r>
      <w:r w:rsidR="00384D99" w:rsidRPr="00EF6F04">
        <w:rPr>
          <w:vertAlign w:val="superscript"/>
          <w:lang w:val="fr-FR"/>
        </w:rPr>
        <w:t>o</w:t>
      </w:r>
      <w:r w:rsidR="00384D99" w:rsidRPr="00EF6F04">
        <w:rPr>
          <w:lang w:val="fr-FR"/>
        </w:rPr>
        <w:t xml:space="preserve"> 18393/09, § 47, 28 octobre 2014 ; </w:t>
      </w:r>
      <w:r w:rsidR="00384D99" w:rsidRPr="00EF6F04">
        <w:rPr>
          <w:i/>
          <w:lang w:val="fr-FR"/>
        </w:rPr>
        <w:t>Vlad et autres c.</w:t>
      </w:r>
      <w:r w:rsidR="00B62111" w:rsidRPr="00EF6F04">
        <w:rPr>
          <w:i/>
          <w:lang w:val="fr-FR"/>
        </w:rPr>
        <w:t> </w:t>
      </w:r>
      <w:r w:rsidR="00384D99" w:rsidRPr="00EF6F04">
        <w:rPr>
          <w:i/>
          <w:lang w:val="fr-FR"/>
        </w:rPr>
        <w:t>Roumanie</w:t>
      </w:r>
      <w:r w:rsidR="00384D99" w:rsidRPr="00EF6F04">
        <w:rPr>
          <w:lang w:val="fr-FR"/>
        </w:rPr>
        <w:t>, n</w:t>
      </w:r>
      <w:r w:rsidR="00384D99" w:rsidRPr="00EF6F04">
        <w:rPr>
          <w:vertAlign w:val="superscript"/>
          <w:lang w:val="fr-FR"/>
        </w:rPr>
        <w:t>os</w:t>
      </w:r>
      <w:r w:rsidR="00384D99" w:rsidRPr="00EF6F04">
        <w:rPr>
          <w:lang w:val="fr-FR"/>
        </w:rPr>
        <w:t xml:space="preserve"> 40756/06, 41508/07 et 50806/07, § 103, 26 novembre 2013 ; </w:t>
      </w:r>
      <w:r w:rsidR="009F00CA" w:rsidRPr="00EF6F04">
        <w:rPr>
          <w:i/>
          <w:szCs w:val="24"/>
          <w:lang w:val="fr-FR"/>
        </w:rPr>
        <w:t xml:space="preserve">Sürmeli c. </w:t>
      </w:r>
      <w:r w:rsidR="00411BF9" w:rsidRPr="00EF6F04">
        <w:rPr>
          <w:i/>
          <w:szCs w:val="24"/>
          <w:lang w:val="fr-FR"/>
        </w:rPr>
        <w:t xml:space="preserve">Allemagne </w:t>
      </w:r>
      <w:r w:rsidR="00411BF9" w:rsidRPr="00EF6F04">
        <w:rPr>
          <w:szCs w:val="24"/>
          <w:lang w:val="fr-FR"/>
        </w:rPr>
        <w:t>(déc.),</w:t>
      </w:r>
      <w:r w:rsidR="009F00CA" w:rsidRPr="00EF6F04">
        <w:rPr>
          <w:szCs w:val="24"/>
          <w:lang w:val="fr-FR"/>
        </w:rPr>
        <w:t xml:space="preserve"> n</w:t>
      </w:r>
      <w:r w:rsidR="009F00CA" w:rsidRPr="00EF6F04">
        <w:rPr>
          <w:szCs w:val="24"/>
          <w:vertAlign w:val="superscript"/>
          <w:lang w:val="fr-FR"/>
        </w:rPr>
        <w:t>o</w:t>
      </w:r>
      <w:r w:rsidR="009F00CA" w:rsidRPr="00EF6F04">
        <w:rPr>
          <w:szCs w:val="24"/>
          <w:lang w:val="fr-FR"/>
        </w:rPr>
        <w:t xml:space="preserve"> 75529/01,</w:t>
      </w:r>
      <w:r w:rsidR="00384D99" w:rsidRPr="00EF6F04">
        <w:rPr>
          <w:lang w:val="fr-FR"/>
        </w:rPr>
        <w:t xml:space="preserve"> 29 </w:t>
      </w:r>
      <w:r w:rsidR="009F00CA" w:rsidRPr="00EF6F04">
        <w:rPr>
          <w:lang w:val="fr-FR"/>
        </w:rPr>
        <w:t>avril</w:t>
      </w:r>
      <w:r w:rsidR="00384D99" w:rsidRPr="00EF6F04">
        <w:rPr>
          <w:lang w:val="fr-FR"/>
        </w:rPr>
        <w:t xml:space="preserve"> </w:t>
      </w:r>
      <w:r w:rsidR="009F00CA" w:rsidRPr="00EF6F04">
        <w:rPr>
          <w:lang w:val="fr-FR"/>
        </w:rPr>
        <w:t>2004)</w:t>
      </w:r>
      <w:r w:rsidR="007A24E4" w:rsidRPr="00EF6F04">
        <w:rPr>
          <w:lang w:val="fr-FR"/>
        </w:rPr>
        <w:t xml:space="preserve">. Partant, elle décide </w:t>
      </w:r>
      <w:r w:rsidR="00D96EAC" w:rsidRPr="00EF6F04">
        <w:rPr>
          <w:lang w:val="fr-FR"/>
        </w:rPr>
        <w:t>que</w:t>
      </w:r>
      <w:r w:rsidR="007A24E4" w:rsidRPr="00EF6F04">
        <w:rPr>
          <w:lang w:val="fr-FR"/>
        </w:rPr>
        <w:t xml:space="preserve"> l</w:t>
      </w:r>
      <w:r w:rsidR="00EF6F04" w:rsidRPr="00EF6F04">
        <w:rPr>
          <w:lang w:val="fr-FR"/>
        </w:rPr>
        <w:t>’</w:t>
      </w:r>
      <w:r w:rsidR="007A24E4" w:rsidRPr="00EF6F04">
        <w:rPr>
          <w:lang w:val="fr-FR"/>
        </w:rPr>
        <w:t>exception du Gouvernement</w:t>
      </w:r>
      <w:r w:rsidR="00D96EAC" w:rsidRPr="00EF6F04">
        <w:rPr>
          <w:lang w:val="fr-FR"/>
        </w:rPr>
        <w:t xml:space="preserve"> sera examiné lors de l</w:t>
      </w:r>
      <w:r w:rsidR="00EF6F04" w:rsidRPr="00EF6F04">
        <w:rPr>
          <w:lang w:val="fr-FR"/>
        </w:rPr>
        <w:t>’</w:t>
      </w:r>
      <w:r w:rsidR="00D96EAC" w:rsidRPr="00EF6F04">
        <w:rPr>
          <w:lang w:val="fr-FR"/>
        </w:rPr>
        <w:t>examen du bien-fondé de l</w:t>
      </w:r>
      <w:r w:rsidR="00EF6F04" w:rsidRPr="00EF6F04">
        <w:rPr>
          <w:lang w:val="fr-FR"/>
        </w:rPr>
        <w:t>’</w:t>
      </w:r>
      <w:r w:rsidR="00D96EAC" w:rsidRPr="00EF6F04">
        <w:rPr>
          <w:lang w:val="fr-FR"/>
        </w:rPr>
        <w:t>article 13 de la Convention</w:t>
      </w:r>
      <w:r w:rsidR="007A24E4" w:rsidRPr="00EF6F04">
        <w:rPr>
          <w:lang w:val="fr-FR"/>
        </w:rPr>
        <w:t>, compte tenu des affinités étroites que présentent les articles 35 § 1 et 13 de la Convention (</w:t>
      </w:r>
      <w:r w:rsidR="007A24E4" w:rsidRPr="00EF6F04">
        <w:rPr>
          <w:i/>
          <w:lang w:val="fr-FR"/>
        </w:rPr>
        <w:t>Kudła c.</w:t>
      </w:r>
      <w:r w:rsidR="00B62111" w:rsidRPr="00EF6F04">
        <w:rPr>
          <w:i/>
          <w:lang w:val="fr-FR"/>
        </w:rPr>
        <w:t> </w:t>
      </w:r>
      <w:r w:rsidR="007A24E4" w:rsidRPr="00EF6F04">
        <w:rPr>
          <w:i/>
          <w:lang w:val="fr-FR"/>
        </w:rPr>
        <w:t>Pologne</w:t>
      </w:r>
      <w:r w:rsidR="007A24E4" w:rsidRPr="00EF6F04">
        <w:rPr>
          <w:lang w:val="fr-FR"/>
        </w:rPr>
        <w:t xml:space="preserve"> [GC], n</w:t>
      </w:r>
      <w:r w:rsidR="007A24E4" w:rsidRPr="00EF6F04">
        <w:rPr>
          <w:vertAlign w:val="superscript"/>
          <w:lang w:val="fr-FR"/>
        </w:rPr>
        <w:t>o</w:t>
      </w:r>
      <w:r w:rsidR="007A24E4" w:rsidRPr="00EF6F04">
        <w:rPr>
          <w:lang w:val="fr-FR"/>
        </w:rPr>
        <w:t xml:space="preserve"> 30210/96, § 152, CEDH 2000-XI).</w:t>
      </w:r>
    </w:p>
    <w:p w:rsidR="009F3294" w:rsidRPr="00EF6F04" w:rsidRDefault="009F3294" w:rsidP="00EF6F04">
      <w:pPr>
        <w:pStyle w:val="ECHRPara"/>
        <w:rPr>
          <w:szCs w:val="24"/>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36</w:t>
      </w:r>
      <w:r w:rsidRPr="00EF6F04">
        <w:rPr>
          <w:lang w:val="fr-FR"/>
        </w:rPr>
        <w:fldChar w:fldCharType="end"/>
      </w:r>
      <w:r w:rsidRPr="00EF6F04">
        <w:rPr>
          <w:lang w:val="fr-FR"/>
        </w:rPr>
        <w:t xml:space="preserve">.  Quant à la qualité de </w:t>
      </w:r>
      <w:r w:rsidR="006F6891" w:rsidRPr="00EF6F04">
        <w:rPr>
          <w:lang w:val="fr-FR"/>
        </w:rPr>
        <w:t>« </w:t>
      </w:r>
      <w:r w:rsidRPr="00EF6F04">
        <w:rPr>
          <w:lang w:val="fr-FR"/>
        </w:rPr>
        <w:t>victime</w:t>
      </w:r>
      <w:r w:rsidR="006F6891" w:rsidRPr="00EF6F04">
        <w:rPr>
          <w:lang w:val="fr-FR"/>
        </w:rPr>
        <w:t> »</w:t>
      </w:r>
      <w:r w:rsidR="006A697D" w:rsidRPr="00EF6F04">
        <w:rPr>
          <w:lang w:val="fr-FR"/>
        </w:rPr>
        <w:t xml:space="preserve"> des requérants</w:t>
      </w:r>
      <w:r w:rsidRPr="00EF6F04">
        <w:rPr>
          <w:lang w:val="fr-FR"/>
        </w:rPr>
        <w:t>, </w:t>
      </w:r>
      <w:r w:rsidR="006A697D" w:rsidRPr="00EF6F04">
        <w:rPr>
          <w:lang w:val="fr-FR"/>
        </w:rPr>
        <w:t>l</w:t>
      </w:r>
      <w:r w:rsidRPr="00EF6F04">
        <w:rPr>
          <w:lang w:val="fr-FR"/>
        </w:rPr>
        <w:t>a Cour rappelle que de sa jurisprudence relative à l</w:t>
      </w:r>
      <w:r w:rsidR="00EF6F04" w:rsidRPr="00EF6F04">
        <w:rPr>
          <w:lang w:val="fr-FR"/>
        </w:rPr>
        <w:t>’</w:t>
      </w:r>
      <w:r w:rsidRPr="00EF6F04">
        <w:rPr>
          <w:lang w:val="fr-FR"/>
        </w:rPr>
        <w:t>intervention des tiers dans des procédures civiles se dégage la distinction suivante : lorsqu</w:t>
      </w:r>
      <w:r w:rsidR="00EF6F04" w:rsidRPr="00EF6F04">
        <w:rPr>
          <w:lang w:val="fr-FR"/>
        </w:rPr>
        <w:t>’</w:t>
      </w:r>
      <w:r w:rsidRPr="00EF6F04">
        <w:rPr>
          <w:lang w:val="fr-FR"/>
        </w:rPr>
        <w:t>un requérant est intervenu dans la procédure nationale uniquement en son nom propre, la période à prendre en considération commence à courir à compter de cette date, alors que, lorsqu</w:t>
      </w:r>
      <w:r w:rsidR="00EF6F04" w:rsidRPr="00EF6F04">
        <w:rPr>
          <w:lang w:val="fr-FR"/>
        </w:rPr>
        <w:t>’</w:t>
      </w:r>
      <w:r w:rsidRPr="00EF6F04">
        <w:rPr>
          <w:lang w:val="fr-FR"/>
        </w:rPr>
        <w:t>un requérant se constitue partie au litige en tant qu</w:t>
      </w:r>
      <w:r w:rsidR="00EF6F04" w:rsidRPr="00EF6F04">
        <w:rPr>
          <w:lang w:val="fr-FR"/>
        </w:rPr>
        <w:t>’</w:t>
      </w:r>
      <w:r w:rsidRPr="00EF6F04">
        <w:rPr>
          <w:lang w:val="fr-FR"/>
        </w:rPr>
        <w:t xml:space="preserve">héritier, il peut se plaindre de toute la durée de la procédure (voir </w:t>
      </w:r>
      <w:r w:rsidR="00D41AD8" w:rsidRPr="00EF6F04">
        <w:rPr>
          <w:i/>
          <w:szCs w:val="24"/>
          <w:lang w:val="fr-FR"/>
        </w:rPr>
        <w:t xml:space="preserve">Scordino c. </w:t>
      </w:r>
      <w:r w:rsidR="00D41AD8" w:rsidRPr="00EF6F04">
        <w:rPr>
          <w:i/>
          <w:spacing w:val="-2"/>
          <w:szCs w:val="24"/>
          <w:lang w:val="fr-FR"/>
        </w:rPr>
        <w:t>Italie (n</w:t>
      </w:r>
      <w:r w:rsidR="00D41AD8" w:rsidRPr="00EF6F04">
        <w:rPr>
          <w:i/>
          <w:spacing w:val="-2"/>
          <w:szCs w:val="24"/>
          <w:vertAlign w:val="superscript"/>
          <w:lang w:val="fr-FR"/>
        </w:rPr>
        <w:t>o</w:t>
      </w:r>
      <w:r w:rsidR="00D41AD8" w:rsidRPr="00EF6F04">
        <w:rPr>
          <w:i/>
          <w:spacing w:val="-2"/>
          <w:szCs w:val="24"/>
          <w:lang w:val="fr-FR"/>
        </w:rPr>
        <w:t> 1)</w:t>
      </w:r>
      <w:r w:rsidR="00D41AD8" w:rsidRPr="00EF6F04">
        <w:rPr>
          <w:szCs w:val="24"/>
          <w:lang w:val="fr-FR"/>
        </w:rPr>
        <w:t xml:space="preserve"> [GC], n</w:t>
      </w:r>
      <w:r w:rsidR="00D41AD8" w:rsidRPr="00EF6F04">
        <w:rPr>
          <w:szCs w:val="24"/>
          <w:vertAlign w:val="superscript"/>
          <w:lang w:val="fr-FR"/>
        </w:rPr>
        <w:t>o</w:t>
      </w:r>
      <w:r w:rsidR="00D41AD8" w:rsidRPr="00EF6F04">
        <w:rPr>
          <w:szCs w:val="24"/>
          <w:lang w:val="fr-FR"/>
        </w:rPr>
        <w:t xml:space="preserve"> 36813/97, § 220, CEDH 2006</w:t>
      </w:r>
      <w:r w:rsidR="00D41AD8" w:rsidRPr="00EF6F04">
        <w:rPr>
          <w:szCs w:val="24"/>
          <w:lang w:val="fr-FR"/>
        </w:rPr>
        <w:noBreakHyphen/>
        <w:t>V ;</w:t>
      </w:r>
      <w:r w:rsidRPr="00EF6F04">
        <w:rPr>
          <w:szCs w:val="24"/>
          <w:lang w:val="fr-FR"/>
        </w:rPr>
        <w:t xml:space="preserve"> </w:t>
      </w:r>
      <w:r w:rsidRPr="00EF6F04">
        <w:rPr>
          <w:i/>
          <w:szCs w:val="24"/>
          <w:lang w:val="fr-FR"/>
        </w:rPr>
        <w:t>Cocchiarella</w:t>
      </w:r>
      <w:r w:rsidRPr="00EF6F04">
        <w:rPr>
          <w:szCs w:val="24"/>
          <w:lang w:val="fr-FR"/>
        </w:rPr>
        <w:t xml:space="preserve"> précité, §</w:t>
      </w:r>
      <w:r w:rsidR="00384D99" w:rsidRPr="00EF6F04">
        <w:rPr>
          <w:szCs w:val="24"/>
          <w:lang w:val="fr-FR"/>
        </w:rPr>
        <w:t> </w:t>
      </w:r>
      <w:r w:rsidRPr="00EF6F04">
        <w:rPr>
          <w:szCs w:val="24"/>
          <w:lang w:val="fr-FR"/>
        </w:rPr>
        <w:t>113</w:t>
      </w:r>
      <w:r w:rsidRPr="00EF6F04">
        <w:rPr>
          <w:lang w:val="fr-FR"/>
        </w:rPr>
        <w:t>). L</w:t>
      </w:r>
      <w:r w:rsidR="00384D99" w:rsidRPr="00EF6F04">
        <w:rPr>
          <w:lang w:val="fr-FR"/>
        </w:rPr>
        <w:t>a C</w:t>
      </w:r>
      <w:r w:rsidR="00026B9F" w:rsidRPr="00EF6F04">
        <w:rPr>
          <w:lang w:val="fr-FR"/>
        </w:rPr>
        <w:t>our considère que l</w:t>
      </w:r>
      <w:r w:rsidRPr="00EF6F04">
        <w:rPr>
          <w:lang w:val="fr-FR"/>
        </w:rPr>
        <w:t>a même conclusion s</w:t>
      </w:r>
      <w:r w:rsidR="00EF6F04" w:rsidRPr="00EF6F04">
        <w:rPr>
          <w:lang w:val="fr-FR"/>
        </w:rPr>
        <w:t>’</w:t>
      </w:r>
      <w:r w:rsidRPr="00EF6F04">
        <w:rPr>
          <w:lang w:val="fr-FR"/>
        </w:rPr>
        <w:t>impose pour les procédures juridictionnelles administratives.</w:t>
      </w:r>
    </w:p>
    <w:p w:rsidR="009F3294" w:rsidRPr="00EF6F04" w:rsidRDefault="009F3294" w:rsidP="00EF6F04">
      <w:pPr>
        <w:pStyle w:val="ECHRPara"/>
        <w:rPr>
          <w:lang w:val="fr-FR"/>
        </w:rPr>
      </w:pPr>
      <w:r w:rsidRPr="00EF6F04">
        <w:rPr>
          <w:lang w:val="fr-FR"/>
        </w:rPr>
        <w:lastRenderedPageBreak/>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37</w:t>
      </w:r>
      <w:r w:rsidRPr="00EF6F04">
        <w:rPr>
          <w:lang w:val="fr-FR"/>
        </w:rPr>
        <w:fldChar w:fldCharType="end"/>
      </w:r>
      <w:r w:rsidRPr="00EF6F04">
        <w:rPr>
          <w:lang w:val="fr-FR"/>
        </w:rPr>
        <w:t>.  </w:t>
      </w:r>
      <w:r w:rsidR="00026B9F" w:rsidRPr="00EF6F04">
        <w:rPr>
          <w:lang w:val="fr-FR"/>
        </w:rPr>
        <w:t>Par conséquent, la</w:t>
      </w:r>
      <w:r w:rsidRPr="00EF6F04">
        <w:rPr>
          <w:lang w:val="fr-FR"/>
        </w:rPr>
        <w:t xml:space="preserve"> Cour rejette </w:t>
      </w:r>
      <w:r w:rsidR="00026B9F" w:rsidRPr="00EF6F04">
        <w:rPr>
          <w:lang w:val="fr-FR"/>
        </w:rPr>
        <w:t xml:space="preserve">cette </w:t>
      </w:r>
      <w:r w:rsidRPr="00EF6F04">
        <w:rPr>
          <w:lang w:val="fr-FR"/>
        </w:rPr>
        <w:t xml:space="preserve">exception </w:t>
      </w:r>
      <w:r w:rsidR="00026B9F" w:rsidRPr="00EF6F04">
        <w:rPr>
          <w:lang w:val="fr-FR"/>
        </w:rPr>
        <w:t xml:space="preserve">et estime que </w:t>
      </w:r>
      <w:r w:rsidRPr="00EF6F04">
        <w:rPr>
          <w:lang w:val="fr-FR"/>
        </w:rPr>
        <w:t>les re</w:t>
      </w:r>
      <w:r w:rsidR="006A697D" w:rsidRPr="00EF6F04">
        <w:rPr>
          <w:lang w:val="fr-FR"/>
        </w:rPr>
        <w:t>quérants peuvent se prétendre « victime »</w:t>
      </w:r>
      <w:r w:rsidR="00A65D06" w:rsidRPr="00EF6F04">
        <w:rPr>
          <w:lang w:val="fr-FR"/>
        </w:rPr>
        <w:t xml:space="preserve"> </w:t>
      </w:r>
      <w:r w:rsidRPr="00EF6F04">
        <w:rPr>
          <w:lang w:val="fr-FR"/>
        </w:rPr>
        <w:t>au sens de l</w:t>
      </w:r>
      <w:r w:rsidR="00EF6F04" w:rsidRPr="00EF6F04">
        <w:rPr>
          <w:lang w:val="fr-FR"/>
        </w:rPr>
        <w:t>’</w:t>
      </w:r>
      <w:r w:rsidRPr="00EF6F04">
        <w:rPr>
          <w:lang w:val="fr-FR"/>
        </w:rPr>
        <w:t>article 34 de la Convention.</w:t>
      </w:r>
    </w:p>
    <w:p w:rsidR="00E77CB3" w:rsidRPr="00EF6F04" w:rsidRDefault="006A697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38</w:t>
      </w:r>
      <w:r w:rsidRPr="00EF6F04">
        <w:rPr>
          <w:lang w:val="fr-FR"/>
        </w:rPr>
        <w:fldChar w:fldCharType="end"/>
      </w:r>
      <w:r w:rsidRPr="00EF6F04">
        <w:rPr>
          <w:lang w:val="fr-FR"/>
        </w:rPr>
        <w:t>.  </w:t>
      </w:r>
      <w:r w:rsidR="009F3294" w:rsidRPr="00EF6F04">
        <w:rPr>
          <w:lang w:val="fr-FR"/>
        </w:rPr>
        <w:t xml:space="preserve">La Cour constate que </w:t>
      </w:r>
      <w:r w:rsidR="00026B9F" w:rsidRPr="00EF6F04">
        <w:rPr>
          <w:lang w:val="fr-FR"/>
        </w:rPr>
        <w:t>les requêtes</w:t>
      </w:r>
      <w:r w:rsidR="009F3294" w:rsidRPr="00EF6F04">
        <w:rPr>
          <w:lang w:val="fr-FR"/>
        </w:rPr>
        <w:t xml:space="preserve"> n</w:t>
      </w:r>
      <w:r w:rsidRPr="00EF6F04">
        <w:rPr>
          <w:lang w:val="fr-FR"/>
        </w:rPr>
        <w:t>e sont</w:t>
      </w:r>
      <w:r w:rsidR="009F3294" w:rsidRPr="00EF6F04">
        <w:rPr>
          <w:lang w:val="fr-FR"/>
        </w:rPr>
        <w:t xml:space="preserve"> pas manifestement mal fondé</w:t>
      </w:r>
      <w:r w:rsidR="00026B9F" w:rsidRPr="00EF6F04">
        <w:rPr>
          <w:lang w:val="fr-FR"/>
        </w:rPr>
        <w:t>e</w:t>
      </w:r>
      <w:r w:rsidRPr="00EF6F04">
        <w:rPr>
          <w:lang w:val="fr-FR"/>
        </w:rPr>
        <w:t>s</w:t>
      </w:r>
      <w:r w:rsidR="009F3294" w:rsidRPr="00EF6F04">
        <w:rPr>
          <w:lang w:val="fr-FR"/>
        </w:rPr>
        <w:t xml:space="preserve"> au sens de l</w:t>
      </w:r>
      <w:r w:rsidR="00EF6F04" w:rsidRPr="00EF6F04">
        <w:rPr>
          <w:lang w:val="fr-FR"/>
        </w:rPr>
        <w:t>’</w:t>
      </w:r>
      <w:r w:rsidR="009F3294" w:rsidRPr="00EF6F04">
        <w:rPr>
          <w:lang w:val="fr-FR"/>
        </w:rPr>
        <w:t>article 35 § 3 de la Convention et qu</w:t>
      </w:r>
      <w:r w:rsidR="00EF6F04" w:rsidRPr="00EF6F04">
        <w:rPr>
          <w:lang w:val="fr-FR"/>
        </w:rPr>
        <w:t>’</w:t>
      </w:r>
      <w:r w:rsidR="00026B9F" w:rsidRPr="00EF6F04">
        <w:rPr>
          <w:lang w:val="fr-FR"/>
        </w:rPr>
        <w:t>elles</w:t>
      </w:r>
      <w:r w:rsidR="009F3294" w:rsidRPr="00EF6F04">
        <w:rPr>
          <w:lang w:val="fr-FR"/>
        </w:rPr>
        <w:t xml:space="preserve"> ne se heurte</w:t>
      </w:r>
      <w:r w:rsidRPr="00EF6F04">
        <w:rPr>
          <w:lang w:val="fr-FR"/>
        </w:rPr>
        <w:t>nt</w:t>
      </w:r>
      <w:r w:rsidR="009F3294" w:rsidRPr="00EF6F04">
        <w:rPr>
          <w:lang w:val="fr-FR"/>
        </w:rPr>
        <w:t xml:space="preserve"> à aucun autre motif d</w:t>
      </w:r>
      <w:r w:rsidR="00EF6F04" w:rsidRPr="00EF6F04">
        <w:rPr>
          <w:lang w:val="fr-FR"/>
        </w:rPr>
        <w:t>’</w:t>
      </w:r>
      <w:r w:rsidR="009F3294" w:rsidRPr="00EF6F04">
        <w:rPr>
          <w:lang w:val="fr-FR"/>
        </w:rPr>
        <w:t xml:space="preserve">irrecevabilité. </w:t>
      </w:r>
      <w:r w:rsidR="009967D8" w:rsidRPr="00EF6F04">
        <w:rPr>
          <w:lang w:val="fr-FR"/>
        </w:rPr>
        <w:t xml:space="preserve">Partant, </w:t>
      </w:r>
      <w:r w:rsidR="00026B9F" w:rsidRPr="00EF6F04">
        <w:rPr>
          <w:lang w:val="fr-FR"/>
        </w:rPr>
        <w:t>elles</w:t>
      </w:r>
      <w:r w:rsidR="009967D8" w:rsidRPr="00EF6F04">
        <w:rPr>
          <w:lang w:val="fr-FR"/>
        </w:rPr>
        <w:t xml:space="preserve"> doivent être déclaré</w:t>
      </w:r>
      <w:r w:rsidR="00026B9F" w:rsidRPr="00EF6F04">
        <w:rPr>
          <w:lang w:val="fr-FR"/>
        </w:rPr>
        <w:t>e</w:t>
      </w:r>
      <w:r w:rsidR="009967D8" w:rsidRPr="00EF6F04">
        <w:rPr>
          <w:lang w:val="fr-FR"/>
        </w:rPr>
        <w:t>s recevables.</w:t>
      </w:r>
    </w:p>
    <w:p w:rsidR="009967D8" w:rsidRPr="00EF6F04" w:rsidRDefault="00C276BB" w:rsidP="00EF6F04">
      <w:pPr>
        <w:pStyle w:val="ECHRHeading3"/>
        <w:rPr>
          <w:lang w:val="fr-FR"/>
        </w:rPr>
      </w:pPr>
      <w:r w:rsidRPr="00EF6F04">
        <w:rPr>
          <w:lang w:val="fr-FR"/>
        </w:rPr>
        <w:t>2.  </w:t>
      </w:r>
      <w:r w:rsidR="009967D8" w:rsidRPr="00EF6F04">
        <w:rPr>
          <w:lang w:val="fr-FR"/>
        </w:rPr>
        <w:t>Sur le fond</w:t>
      </w:r>
    </w:p>
    <w:p w:rsidR="009967D8" w:rsidRPr="00EF6F04" w:rsidRDefault="00026B9F" w:rsidP="00EF6F04">
      <w:pPr>
        <w:pStyle w:val="ECHRHeading4"/>
        <w:rPr>
          <w:lang w:val="fr-FR"/>
        </w:rPr>
      </w:pPr>
      <w:r w:rsidRPr="00EF6F04">
        <w:rPr>
          <w:lang w:val="fr-FR"/>
        </w:rPr>
        <w:t>a) </w:t>
      </w:r>
      <w:r w:rsidR="008B1E64" w:rsidRPr="00EF6F04">
        <w:rPr>
          <w:lang w:val="fr-FR"/>
        </w:rPr>
        <w:t> </w:t>
      </w:r>
      <w:r w:rsidR="009967D8" w:rsidRPr="00EF6F04">
        <w:rPr>
          <w:lang w:val="fr-FR"/>
        </w:rPr>
        <w:t>Épuisement des voies de recours internes et violation alléguée de l</w:t>
      </w:r>
      <w:r w:rsidR="00EF6F04" w:rsidRPr="00EF6F04">
        <w:rPr>
          <w:lang w:val="fr-FR"/>
        </w:rPr>
        <w:t>’</w:t>
      </w:r>
      <w:r w:rsidRPr="00EF6F04">
        <w:rPr>
          <w:lang w:val="fr-FR"/>
        </w:rPr>
        <w:t xml:space="preserve">article 13 </w:t>
      </w:r>
      <w:r w:rsidR="009967D8" w:rsidRPr="00EF6F04">
        <w:rPr>
          <w:lang w:val="fr-FR"/>
        </w:rPr>
        <w:t>de la Convention</w:t>
      </w:r>
    </w:p>
    <w:p w:rsidR="00AF490C" w:rsidRPr="00EF6F04" w:rsidRDefault="0067215E" w:rsidP="00EF6F04">
      <w:pPr>
        <w:pStyle w:val="ECHRHeading5"/>
        <w:rPr>
          <w:lang w:val="fr-FR"/>
        </w:rPr>
      </w:pPr>
      <w:r w:rsidRPr="00EF6F04">
        <w:rPr>
          <w:lang w:val="fr-FR"/>
        </w:rPr>
        <w:t>i</w:t>
      </w:r>
      <w:r w:rsidR="00C276BB" w:rsidRPr="00EF6F04">
        <w:rPr>
          <w:lang w:val="fr-FR"/>
        </w:rPr>
        <w:t>.  </w:t>
      </w:r>
      <w:r w:rsidR="00AF490C" w:rsidRPr="00EF6F04">
        <w:rPr>
          <w:lang w:val="fr-FR"/>
        </w:rPr>
        <w:t>Principes généraux</w:t>
      </w:r>
    </w:p>
    <w:p w:rsidR="009B74D4" w:rsidRPr="00EF6F04" w:rsidRDefault="009B74D4"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39</w:t>
      </w:r>
      <w:r w:rsidRPr="00EF6F04">
        <w:rPr>
          <w:lang w:val="fr-FR"/>
        </w:rPr>
        <w:fldChar w:fldCharType="end"/>
      </w:r>
      <w:r w:rsidRPr="00EF6F04">
        <w:rPr>
          <w:lang w:val="fr-FR"/>
        </w:rPr>
        <w:t>. </w:t>
      </w:r>
      <w:r w:rsidR="00CE65C8" w:rsidRPr="00EF6F04">
        <w:rPr>
          <w:lang w:val="fr-FR"/>
        </w:rPr>
        <w:t> </w:t>
      </w:r>
      <w:r w:rsidRPr="00EF6F04">
        <w:rPr>
          <w:lang w:val="fr-FR"/>
        </w:rPr>
        <w:t>En vertu de l</w:t>
      </w:r>
      <w:r w:rsidR="00EF6F04" w:rsidRPr="00EF6F04">
        <w:rPr>
          <w:lang w:val="fr-FR"/>
        </w:rPr>
        <w:t>’</w:t>
      </w:r>
      <w:r w:rsidRPr="00EF6F04">
        <w:rPr>
          <w:lang w:val="fr-FR"/>
        </w:rPr>
        <w:t>article 1</w:t>
      </w:r>
      <w:r w:rsidR="00CD0F13" w:rsidRPr="00EF6F04">
        <w:rPr>
          <w:lang w:val="fr-FR"/>
        </w:rPr>
        <w:t xml:space="preserve"> de la Convention</w:t>
      </w:r>
      <w:r w:rsidRPr="00EF6F04">
        <w:rPr>
          <w:lang w:val="fr-FR"/>
        </w:rPr>
        <w:t>, aux termes duquel « [L]es Hautes Parties contractantes reconnaissent à toute personne relevant de leur juridiction les droits et libertés définis au titre I de la présente Convention », la mise en œuvre et la sanction des droits et libertés garantis par la Convention revient au premier chef aux autorités nationales. Le mécanisme de plainte devant la Cour revêt donc un caractère subsidiaire par rapport aux systèmes nationaux de sauvegarde des droits de l</w:t>
      </w:r>
      <w:r w:rsidR="00EF6F04" w:rsidRPr="00EF6F04">
        <w:rPr>
          <w:lang w:val="fr-FR"/>
        </w:rPr>
        <w:t>’</w:t>
      </w:r>
      <w:r w:rsidRPr="00EF6F04">
        <w:rPr>
          <w:lang w:val="fr-FR"/>
        </w:rPr>
        <w:t>homme. Cette subsidiarité s</w:t>
      </w:r>
      <w:r w:rsidR="00EF6F04" w:rsidRPr="00EF6F04">
        <w:rPr>
          <w:lang w:val="fr-FR"/>
        </w:rPr>
        <w:t>’</w:t>
      </w:r>
      <w:r w:rsidRPr="00EF6F04">
        <w:rPr>
          <w:lang w:val="fr-FR"/>
        </w:rPr>
        <w:t>exprime dans les articles 13 et 35 § 1 de la Convention</w:t>
      </w:r>
      <w:r w:rsidR="00F4309D" w:rsidRPr="00EF6F04">
        <w:rPr>
          <w:lang w:val="fr-FR"/>
        </w:rPr>
        <w:t xml:space="preserve"> (voir, parmi d</w:t>
      </w:r>
      <w:r w:rsidR="00EF6F04" w:rsidRPr="00EF6F04">
        <w:rPr>
          <w:lang w:val="fr-FR"/>
        </w:rPr>
        <w:t>’</w:t>
      </w:r>
      <w:r w:rsidR="00F4309D" w:rsidRPr="00EF6F04">
        <w:rPr>
          <w:lang w:val="fr-FR"/>
        </w:rPr>
        <w:t xml:space="preserve">autres, </w:t>
      </w:r>
      <w:r w:rsidR="0046526E" w:rsidRPr="00EF6F04">
        <w:rPr>
          <w:i/>
          <w:szCs w:val="24"/>
          <w:lang w:val="fr-FR"/>
        </w:rPr>
        <w:t xml:space="preserve">Cocchiarella </w:t>
      </w:r>
      <w:r w:rsidR="0046526E" w:rsidRPr="00EF6F04">
        <w:rPr>
          <w:szCs w:val="24"/>
          <w:lang w:val="fr-FR"/>
        </w:rPr>
        <w:t>précité</w:t>
      </w:r>
      <w:r w:rsidR="00F4309D" w:rsidRPr="00EF6F04">
        <w:rPr>
          <w:szCs w:val="24"/>
          <w:lang w:val="fr-FR"/>
        </w:rPr>
        <w:t>, § 38</w:t>
      </w:r>
      <w:r w:rsidR="0046526E" w:rsidRPr="00EF6F04">
        <w:rPr>
          <w:szCs w:val="24"/>
          <w:lang w:val="fr-FR"/>
        </w:rPr>
        <w:t> ;</w:t>
      </w:r>
      <w:r w:rsidR="00F4309D" w:rsidRPr="00EF6F04">
        <w:rPr>
          <w:szCs w:val="24"/>
          <w:lang w:val="fr-FR"/>
        </w:rPr>
        <w:t xml:space="preserve"> </w:t>
      </w:r>
      <w:r w:rsidR="00F4309D" w:rsidRPr="00EF6F04">
        <w:rPr>
          <w:i/>
          <w:szCs w:val="24"/>
          <w:lang w:val="fr-FR"/>
        </w:rPr>
        <w:t>Balakchiev et autres c. Bulgarie</w:t>
      </w:r>
      <w:r w:rsidR="00F4309D" w:rsidRPr="00EF6F04">
        <w:rPr>
          <w:szCs w:val="24"/>
          <w:lang w:val="fr-FR"/>
        </w:rPr>
        <w:t xml:space="preserve"> (déc.), n</w:t>
      </w:r>
      <w:r w:rsidR="006317C1" w:rsidRPr="00EF6F04">
        <w:rPr>
          <w:szCs w:val="24"/>
          <w:vertAlign w:val="superscript"/>
          <w:lang w:val="fr-FR"/>
        </w:rPr>
        <w:t>o</w:t>
      </w:r>
      <w:r w:rsidR="00F4309D" w:rsidRPr="00EF6F04">
        <w:rPr>
          <w:szCs w:val="24"/>
          <w:lang w:val="fr-FR"/>
        </w:rPr>
        <w:t xml:space="preserve"> 65187/10, § 49, 18 juin 2013)</w:t>
      </w:r>
      <w:r w:rsidRPr="00EF6F04">
        <w:rPr>
          <w:lang w:val="fr-FR"/>
        </w:rPr>
        <w:t>.</w:t>
      </w:r>
    </w:p>
    <w:p w:rsidR="000C578C" w:rsidRPr="00EF6F04" w:rsidRDefault="00F4309D" w:rsidP="00EF6F04">
      <w:pPr>
        <w:pStyle w:val="ECHRPara"/>
        <w:rPr>
          <w:i/>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40</w:t>
      </w:r>
      <w:r w:rsidRPr="00EF6F04">
        <w:rPr>
          <w:lang w:val="fr-FR"/>
        </w:rPr>
        <w:fldChar w:fldCharType="end"/>
      </w:r>
      <w:r w:rsidRPr="00EF6F04">
        <w:rPr>
          <w:lang w:val="fr-FR"/>
        </w:rPr>
        <w:t xml:space="preserve">.  La Cour </w:t>
      </w:r>
      <w:r w:rsidR="001D33D8" w:rsidRPr="00EF6F04">
        <w:rPr>
          <w:lang w:val="fr-FR"/>
        </w:rPr>
        <w:t xml:space="preserve">rappelle que </w:t>
      </w:r>
      <w:r w:rsidR="00243898" w:rsidRPr="00EF6F04">
        <w:rPr>
          <w:lang w:val="fr-FR"/>
        </w:rPr>
        <w:t>le principe de subsidiarité ne signifie pas qu</w:t>
      </w:r>
      <w:r w:rsidR="00EF6F04" w:rsidRPr="00EF6F04">
        <w:rPr>
          <w:lang w:val="fr-FR"/>
        </w:rPr>
        <w:t>’</w:t>
      </w:r>
      <w:r w:rsidR="00243898" w:rsidRPr="00EF6F04">
        <w:rPr>
          <w:lang w:val="fr-FR"/>
        </w:rPr>
        <w:t>il faille renoncer à tout contrôle sur le résultat obtenu du fait de l</w:t>
      </w:r>
      <w:r w:rsidR="00EF6F04" w:rsidRPr="00EF6F04">
        <w:rPr>
          <w:lang w:val="fr-FR"/>
        </w:rPr>
        <w:t>’</w:t>
      </w:r>
      <w:r w:rsidR="00243898" w:rsidRPr="00EF6F04">
        <w:rPr>
          <w:lang w:val="fr-FR"/>
        </w:rPr>
        <w:t>utilisation de la voie de recours interne, sous peine de vider les droits garantis par l</w:t>
      </w:r>
      <w:r w:rsidR="00EF6F04" w:rsidRPr="00EF6F04">
        <w:rPr>
          <w:lang w:val="fr-FR"/>
        </w:rPr>
        <w:t>’</w:t>
      </w:r>
      <w:r w:rsidR="00AF5649" w:rsidRPr="00EF6F04">
        <w:rPr>
          <w:lang w:val="fr-FR"/>
        </w:rPr>
        <w:t>article </w:t>
      </w:r>
      <w:r w:rsidR="00243898" w:rsidRPr="00EF6F04">
        <w:rPr>
          <w:lang w:val="fr-FR"/>
        </w:rPr>
        <w:t>6</w:t>
      </w:r>
      <w:r w:rsidR="00AF5649" w:rsidRPr="00EF6F04">
        <w:rPr>
          <w:lang w:val="fr-FR"/>
        </w:rPr>
        <w:t xml:space="preserve"> </w:t>
      </w:r>
      <w:r w:rsidR="00243898" w:rsidRPr="00EF6F04">
        <w:rPr>
          <w:lang w:val="fr-FR"/>
        </w:rPr>
        <w:t>§</w:t>
      </w:r>
      <w:r w:rsidR="00BE0811" w:rsidRPr="00EF6F04">
        <w:rPr>
          <w:lang w:val="fr-FR"/>
        </w:rPr>
        <w:t> </w:t>
      </w:r>
      <w:r w:rsidR="00243898" w:rsidRPr="00EF6F04">
        <w:rPr>
          <w:lang w:val="fr-FR"/>
        </w:rPr>
        <w:t>1 de la Convention de toute substance. À cet égard, il y a lieu de rappeler que la Convention a pour but de protéger des droits non pas théoriques ou illusoires, mais concrets et effectifs (</w:t>
      </w:r>
      <w:r w:rsidR="00243898" w:rsidRPr="00EF6F04">
        <w:rPr>
          <w:i/>
          <w:lang w:val="fr-FR"/>
        </w:rPr>
        <w:t>Prince Hans-Adam II de Liechtenstein c. Allemagne</w:t>
      </w:r>
      <w:r w:rsidR="00243898" w:rsidRPr="00EF6F04">
        <w:rPr>
          <w:lang w:val="fr-FR"/>
        </w:rPr>
        <w:t xml:space="preserve"> [GC], n</w:t>
      </w:r>
      <w:r w:rsidR="00243898" w:rsidRPr="00EF6F04">
        <w:rPr>
          <w:vertAlign w:val="superscript"/>
          <w:lang w:val="fr-FR"/>
        </w:rPr>
        <w:t>o</w:t>
      </w:r>
      <w:r w:rsidR="00243898" w:rsidRPr="00EF6F04">
        <w:rPr>
          <w:lang w:val="fr-FR"/>
        </w:rPr>
        <w:t xml:space="preserve">42527/98, § 45, CEDH 2001-VIII). La remarque vaut </w:t>
      </w:r>
      <w:r w:rsidR="00D96EAC" w:rsidRPr="00EF6F04">
        <w:rPr>
          <w:lang w:val="fr-FR"/>
        </w:rPr>
        <w:t>particulièrement</w:t>
      </w:r>
      <w:r w:rsidR="00243898" w:rsidRPr="00EF6F04">
        <w:rPr>
          <w:lang w:val="fr-FR"/>
        </w:rPr>
        <w:t xml:space="preserve"> pour les garanties prévues par l</w:t>
      </w:r>
      <w:r w:rsidR="00EF6F04" w:rsidRPr="00EF6F04">
        <w:rPr>
          <w:lang w:val="fr-FR"/>
        </w:rPr>
        <w:t>’</w:t>
      </w:r>
      <w:r w:rsidR="00243898" w:rsidRPr="00EF6F04">
        <w:rPr>
          <w:lang w:val="fr-FR"/>
        </w:rPr>
        <w:t>article 6 de la Convention, vu la place éminente que le droit à un procès équitable, avec toutes les garanties prévues par cette disposition, occupe dans une société démocratique (</w:t>
      </w:r>
      <w:r w:rsidR="00243898" w:rsidRPr="00EF6F04">
        <w:rPr>
          <w:i/>
          <w:lang w:val="fr-FR"/>
        </w:rPr>
        <w:t>Valada Matos das Neves</w:t>
      </w:r>
      <w:r w:rsidR="00243898" w:rsidRPr="00EF6F04">
        <w:rPr>
          <w:lang w:val="fr-FR"/>
        </w:rPr>
        <w:t xml:space="preserve"> </w:t>
      </w:r>
      <w:r w:rsidR="00243898" w:rsidRPr="00EF6F04">
        <w:rPr>
          <w:i/>
          <w:lang w:val="fr-FR"/>
        </w:rPr>
        <w:t>c. Portugal</w:t>
      </w:r>
      <w:r w:rsidR="00243898" w:rsidRPr="00EF6F04">
        <w:rPr>
          <w:lang w:val="fr-FR"/>
        </w:rPr>
        <w:t>, n</w:t>
      </w:r>
      <w:r w:rsidR="00243898" w:rsidRPr="00EF6F04">
        <w:rPr>
          <w:vertAlign w:val="superscript"/>
          <w:lang w:val="fr-FR"/>
        </w:rPr>
        <w:t>o</w:t>
      </w:r>
      <w:r w:rsidR="00243898" w:rsidRPr="00EF6F04">
        <w:rPr>
          <w:lang w:val="fr-FR"/>
        </w:rPr>
        <w:t xml:space="preserve"> 73798/13</w:t>
      </w:r>
      <w:r w:rsidR="00243898" w:rsidRPr="00EF6F04">
        <w:rPr>
          <w:snapToGrid w:val="0"/>
          <w:lang w:val="fr-FR"/>
        </w:rPr>
        <w:t>, § 68, 29</w:t>
      </w:r>
      <w:r w:rsidR="00BE0811" w:rsidRPr="00EF6F04">
        <w:rPr>
          <w:snapToGrid w:val="0"/>
          <w:lang w:val="fr-FR"/>
        </w:rPr>
        <w:t> </w:t>
      </w:r>
      <w:r w:rsidR="00243898" w:rsidRPr="00EF6F04">
        <w:rPr>
          <w:lang w:val="fr-FR"/>
        </w:rPr>
        <w:t>octobre</w:t>
      </w:r>
      <w:r w:rsidR="00AF5649" w:rsidRPr="00EF6F04">
        <w:rPr>
          <w:lang w:val="fr-FR"/>
        </w:rPr>
        <w:t xml:space="preserve"> </w:t>
      </w:r>
      <w:r w:rsidR="00243898" w:rsidRPr="00EF6F04">
        <w:rPr>
          <w:snapToGrid w:val="0"/>
          <w:lang w:val="fr-FR"/>
        </w:rPr>
        <w:t>2015</w:t>
      </w:r>
      <w:r w:rsidR="00243898" w:rsidRPr="00EF6F04">
        <w:rPr>
          <w:lang w:val="fr-FR"/>
        </w:rPr>
        <w:t>).</w:t>
      </w:r>
    </w:p>
    <w:p w:rsidR="009B74D4" w:rsidRPr="00EF6F04" w:rsidRDefault="00243898"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41</w:t>
      </w:r>
      <w:r w:rsidRPr="00EF6F04">
        <w:rPr>
          <w:lang w:val="fr-FR"/>
        </w:rPr>
        <w:fldChar w:fldCharType="end"/>
      </w:r>
      <w:r w:rsidRPr="00EF6F04">
        <w:rPr>
          <w:lang w:val="fr-FR"/>
        </w:rPr>
        <w:t>.  </w:t>
      </w:r>
      <w:r w:rsidR="009B74D4" w:rsidRPr="00EF6F04">
        <w:rPr>
          <w:lang w:val="fr-FR"/>
        </w:rPr>
        <w:t>La finalité de l</w:t>
      </w:r>
      <w:r w:rsidR="00EF6F04" w:rsidRPr="00EF6F04">
        <w:rPr>
          <w:lang w:val="fr-FR"/>
        </w:rPr>
        <w:t>’</w:t>
      </w:r>
      <w:r w:rsidR="009B74D4" w:rsidRPr="00EF6F04">
        <w:rPr>
          <w:lang w:val="fr-FR"/>
        </w:rPr>
        <w:t>article 35 § 1, qui énonce la règle de l</w:t>
      </w:r>
      <w:r w:rsidR="00EF6F04" w:rsidRPr="00EF6F04">
        <w:rPr>
          <w:lang w:val="fr-FR"/>
        </w:rPr>
        <w:t>’</w:t>
      </w:r>
      <w:r w:rsidR="009B74D4" w:rsidRPr="00EF6F04">
        <w:rPr>
          <w:lang w:val="fr-FR"/>
        </w:rPr>
        <w:t xml:space="preserve">épuisement des voies de recours internes, est de ménager aux </w:t>
      </w:r>
      <w:r w:rsidRPr="00EF6F04">
        <w:rPr>
          <w:lang w:val="fr-FR"/>
        </w:rPr>
        <w:t>États</w:t>
      </w:r>
      <w:r w:rsidR="009B74D4" w:rsidRPr="00EF6F04">
        <w:rPr>
          <w:lang w:val="fr-FR"/>
        </w:rPr>
        <w:t xml:space="preserve"> contractants l</w:t>
      </w:r>
      <w:r w:rsidR="00EF6F04" w:rsidRPr="00EF6F04">
        <w:rPr>
          <w:lang w:val="fr-FR"/>
        </w:rPr>
        <w:t>’</w:t>
      </w:r>
      <w:r w:rsidR="009B74D4" w:rsidRPr="00EF6F04">
        <w:rPr>
          <w:lang w:val="fr-FR"/>
        </w:rPr>
        <w:t>occasion de prévenir ou de redresser les violations alléguées contre eux avant que la Cour n</w:t>
      </w:r>
      <w:r w:rsidR="00EF6F04" w:rsidRPr="00EF6F04">
        <w:rPr>
          <w:lang w:val="fr-FR"/>
        </w:rPr>
        <w:t>’</w:t>
      </w:r>
      <w:r w:rsidR="009B74D4" w:rsidRPr="00EF6F04">
        <w:rPr>
          <w:lang w:val="fr-FR"/>
        </w:rPr>
        <w:t xml:space="preserve">en soit saisie (voir, </w:t>
      </w:r>
      <w:r w:rsidR="00810AD4" w:rsidRPr="00EF6F04">
        <w:rPr>
          <w:lang w:val="fr-FR"/>
        </w:rPr>
        <w:t>parmi d</w:t>
      </w:r>
      <w:r w:rsidR="00EF6F04" w:rsidRPr="00EF6F04">
        <w:rPr>
          <w:lang w:val="fr-FR"/>
        </w:rPr>
        <w:t>’</w:t>
      </w:r>
      <w:r w:rsidR="009B74D4" w:rsidRPr="00EF6F04">
        <w:rPr>
          <w:lang w:val="fr-FR"/>
        </w:rPr>
        <w:t>autres, l</w:t>
      </w:r>
      <w:r w:rsidR="00EF6F04" w:rsidRPr="00EF6F04">
        <w:rPr>
          <w:lang w:val="fr-FR"/>
        </w:rPr>
        <w:t>’</w:t>
      </w:r>
      <w:r w:rsidR="009B74D4" w:rsidRPr="00EF6F04">
        <w:rPr>
          <w:lang w:val="fr-FR"/>
        </w:rPr>
        <w:t xml:space="preserve">arrêt </w:t>
      </w:r>
      <w:r w:rsidR="009B74D4" w:rsidRPr="00EF6F04">
        <w:rPr>
          <w:i/>
          <w:lang w:val="fr-FR"/>
        </w:rPr>
        <w:t>Selmouni c. France</w:t>
      </w:r>
      <w:r w:rsidR="009B74D4" w:rsidRPr="00EF6F04">
        <w:rPr>
          <w:lang w:val="fr-FR"/>
        </w:rPr>
        <w:t xml:space="preserve"> [GC], n</w:t>
      </w:r>
      <w:r w:rsidRPr="00EF6F04">
        <w:rPr>
          <w:vertAlign w:val="superscript"/>
          <w:lang w:val="fr-FR"/>
        </w:rPr>
        <w:t>o</w:t>
      </w:r>
      <w:r w:rsidR="00810AD4" w:rsidRPr="00EF6F04">
        <w:rPr>
          <w:vertAlign w:val="superscript"/>
          <w:lang w:val="fr-FR"/>
        </w:rPr>
        <w:t xml:space="preserve"> </w:t>
      </w:r>
      <w:r w:rsidR="009B74D4" w:rsidRPr="00EF6F04">
        <w:rPr>
          <w:lang w:val="fr-FR"/>
        </w:rPr>
        <w:t>25803/94, § 74, CEDH 1999-V). La règle de l</w:t>
      </w:r>
      <w:r w:rsidR="00EF6F04" w:rsidRPr="00EF6F04">
        <w:rPr>
          <w:lang w:val="fr-FR"/>
        </w:rPr>
        <w:t>’</w:t>
      </w:r>
      <w:r w:rsidR="009B74D4" w:rsidRPr="00EF6F04">
        <w:rPr>
          <w:lang w:val="fr-FR"/>
        </w:rPr>
        <w:t>article 35 § 1 se fonde sur l</w:t>
      </w:r>
      <w:r w:rsidR="00EF6F04" w:rsidRPr="00EF6F04">
        <w:rPr>
          <w:lang w:val="fr-FR"/>
        </w:rPr>
        <w:t>’</w:t>
      </w:r>
      <w:r w:rsidR="009B74D4" w:rsidRPr="00EF6F04">
        <w:rPr>
          <w:lang w:val="fr-FR"/>
        </w:rPr>
        <w:t>hypothèse, incorporée dans l</w:t>
      </w:r>
      <w:r w:rsidR="00EF6F04" w:rsidRPr="00EF6F04">
        <w:rPr>
          <w:lang w:val="fr-FR"/>
        </w:rPr>
        <w:t>’</w:t>
      </w:r>
      <w:r w:rsidR="009B74D4" w:rsidRPr="00EF6F04">
        <w:rPr>
          <w:lang w:val="fr-FR"/>
        </w:rPr>
        <w:t>article 13 (avec lequel elle présente d</w:t>
      </w:r>
      <w:r w:rsidR="00EF6F04" w:rsidRPr="00EF6F04">
        <w:rPr>
          <w:lang w:val="fr-FR"/>
        </w:rPr>
        <w:t>’</w:t>
      </w:r>
      <w:r w:rsidR="009B74D4" w:rsidRPr="00EF6F04">
        <w:rPr>
          <w:lang w:val="fr-FR"/>
        </w:rPr>
        <w:t>étroites affinités), que l</w:t>
      </w:r>
      <w:r w:rsidR="00EF6F04" w:rsidRPr="00EF6F04">
        <w:rPr>
          <w:lang w:val="fr-FR"/>
        </w:rPr>
        <w:t>’</w:t>
      </w:r>
      <w:r w:rsidR="009B74D4" w:rsidRPr="00EF6F04">
        <w:rPr>
          <w:lang w:val="fr-FR"/>
        </w:rPr>
        <w:t>ordre interne offre un recours effectif quant à la violation alléguée (</w:t>
      </w:r>
      <w:r w:rsidR="0046526E" w:rsidRPr="00EF6F04">
        <w:rPr>
          <w:i/>
          <w:lang w:val="fr-FR"/>
        </w:rPr>
        <w:t>Kudła</w:t>
      </w:r>
      <w:r w:rsidR="0046526E" w:rsidRPr="00EF6F04">
        <w:rPr>
          <w:lang w:val="fr-FR"/>
        </w:rPr>
        <w:t xml:space="preserve"> précité</w:t>
      </w:r>
      <w:r w:rsidR="009B74D4" w:rsidRPr="00EF6F04">
        <w:rPr>
          <w:lang w:val="fr-FR"/>
        </w:rPr>
        <w:t>, § 152).</w:t>
      </w:r>
    </w:p>
    <w:p w:rsidR="009B74D4" w:rsidRPr="00EF6F04" w:rsidRDefault="00810AD4" w:rsidP="00EF6F04">
      <w:pPr>
        <w:pStyle w:val="ECHRPara"/>
        <w:rPr>
          <w:i/>
          <w:lang w:val="fr-FR"/>
        </w:rPr>
      </w:pPr>
      <w:r w:rsidRPr="00EF6F04">
        <w:rPr>
          <w:lang w:val="fr-FR"/>
        </w:rPr>
        <w:lastRenderedPageBreak/>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42</w:t>
      </w:r>
      <w:r w:rsidRPr="00EF6F04">
        <w:rPr>
          <w:lang w:val="fr-FR"/>
        </w:rPr>
        <w:fldChar w:fldCharType="end"/>
      </w:r>
      <w:r w:rsidRPr="00EF6F04">
        <w:rPr>
          <w:lang w:val="fr-FR"/>
        </w:rPr>
        <w:t>.  </w:t>
      </w:r>
      <w:r w:rsidR="009B74D4" w:rsidRPr="00EF6F04">
        <w:rPr>
          <w:lang w:val="fr-FR"/>
        </w:rPr>
        <w:t>Néanmoins, les dispositions de l</w:t>
      </w:r>
      <w:r w:rsidR="00EF6F04" w:rsidRPr="00EF6F04">
        <w:rPr>
          <w:lang w:val="fr-FR"/>
        </w:rPr>
        <w:t>’</w:t>
      </w:r>
      <w:r w:rsidR="009B74D4" w:rsidRPr="00EF6F04">
        <w:rPr>
          <w:lang w:val="fr-FR"/>
        </w:rPr>
        <w:t>article 35 de la Convention ne prescrivent l</w:t>
      </w:r>
      <w:r w:rsidR="00EF6F04" w:rsidRPr="00EF6F04">
        <w:rPr>
          <w:lang w:val="fr-FR"/>
        </w:rPr>
        <w:t>’</w:t>
      </w:r>
      <w:r w:rsidR="009B74D4" w:rsidRPr="00EF6F04">
        <w:rPr>
          <w:lang w:val="fr-FR"/>
        </w:rPr>
        <w:t>épuisement que des recours à la fois relatifs aux violations incriminées, disponibles et adéquats. Ils doivent exister à un degré suffisant de certitude non seulement en théorie mais aussi en pratique, sans quoi leur manquent l</w:t>
      </w:r>
      <w:r w:rsidR="00EF6F04" w:rsidRPr="00EF6F04">
        <w:rPr>
          <w:lang w:val="fr-FR"/>
        </w:rPr>
        <w:t>’</w:t>
      </w:r>
      <w:r w:rsidR="009B74D4" w:rsidRPr="00EF6F04">
        <w:rPr>
          <w:lang w:val="fr-FR"/>
        </w:rPr>
        <w:t>effectivité et l</w:t>
      </w:r>
      <w:r w:rsidR="00EF6F04" w:rsidRPr="00EF6F04">
        <w:rPr>
          <w:lang w:val="fr-FR"/>
        </w:rPr>
        <w:t>’</w:t>
      </w:r>
      <w:r w:rsidR="009B74D4" w:rsidRPr="00EF6F04">
        <w:rPr>
          <w:lang w:val="fr-FR"/>
        </w:rPr>
        <w:t xml:space="preserve">accessibilité voulues (voir, notamment, les arrêts </w:t>
      </w:r>
      <w:r w:rsidR="008B1E64" w:rsidRPr="00EF6F04">
        <w:rPr>
          <w:i/>
          <w:lang w:val="fr-FR"/>
        </w:rPr>
        <w:t xml:space="preserve">Vučković et autres c. Serbie </w:t>
      </w:r>
      <w:r w:rsidR="008B1E64" w:rsidRPr="00EF6F04">
        <w:rPr>
          <w:lang w:val="fr-FR"/>
        </w:rPr>
        <w:t>(exception préliminaire)</w:t>
      </w:r>
      <w:r w:rsidR="008B1E64" w:rsidRPr="00EF6F04">
        <w:rPr>
          <w:i/>
          <w:lang w:val="fr-FR"/>
        </w:rPr>
        <w:t xml:space="preserve"> </w:t>
      </w:r>
      <w:r w:rsidR="008B1E64" w:rsidRPr="00EF6F04">
        <w:rPr>
          <w:lang w:val="fr-FR"/>
        </w:rPr>
        <w:t>[GC], n</w:t>
      </w:r>
      <w:r w:rsidR="008B1E64" w:rsidRPr="00EF6F04">
        <w:rPr>
          <w:vertAlign w:val="superscript"/>
          <w:lang w:val="fr-FR"/>
        </w:rPr>
        <w:t>o</w:t>
      </w:r>
      <w:r w:rsidR="00AF5649" w:rsidRPr="00EF6F04">
        <w:rPr>
          <w:lang w:val="fr-FR"/>
        </w:rPr>
        <w:t xml:space="preserve"> 17153/11 et 29 </w:t>
      </w:r>
      <w:r w:rsidR="008B1E64" w:rsidRPr="00EF6F04">
        <w:rPr>
          <w:lang w:val="fr-FR"/>
        </w:rPr>
        <w:t>autres requêtes</w:t>
      </w:r>
      <w:r w:rsidR="008B1E64" w:rsidRPr="00EF6F04">
        <w:rPr>
          <w:snapToGrid w:val="0"/>
          <w:color w:val="000000"/>
          <w:lang w:val="fr-FR"/>
        </w:rPr>
        <w:t xml:space="preserve">, § 71, </w:t>
      </w:r>
      <w:r w:rsidR="008B1E64" w:rsidRPr="00EF6F04">
        <w:rPr>
          <w:color w:val="000000"/>
          <w:lang w:val="fr-FR"/>
        </w:rPr>
        <w:t>25</w:t>
      </w:r>
      <w:r w:rsidR="008B1E64" w:rsidRPr="00EF6F04">
        <w:rPr>
          <w:snapToGrid w:val="0"/>
          <w:color w:val="000000"/>
          <w:lang w:val="fr-FR"/>
        </w:rPr>
        <w:t xml:space="preserve"> </w:t>
      </w:r>
      <w:r w:rsidR="008B1E64" w:rsidRPr="00EF6F04">
        <w:rPr>
          <w:color w:val="000000"/>
          <w:lang w:val="fr-FR"/>
        </w:rPr>
        <w:t>mars</w:t>
      </w:r>
      <w:r w:rsidR="008B1E64" w:rsidRPr="00EF6F04">
        <w:rPr>
          <w:snapToGrid w:val="0"/>
          <w:color w:val="000000"/>
          <w:lang w:val="fr-FR"/>
        </w:rPr>
        <w:t xml:space="preserve"> 2014 ; </w:t>
      </w:r>
      <w:r w:rsidR="008B1E64" w:rsidRPr="00EF6F04">
        <w:rPr>
          <w:i/>
          <w:lang w:val="fr-FR"/>
        </w:rPr>
        <w:t>Akdivar et autres c. Turquie</w:t>
      </w:r>
      <w:r w:rsidR="008B1E64" w:rsidRPr="00EF6F04">
        <w:rPr>
          <w:lang w:val="fr-FR"/>
        </w:rPr>
        <w:t xml:space="preserve">, 16 septembre 1996, § 66, </w:t>
      </w:r>
      <w:r w:rsidR="008B1E64" w:rsidRPr="00EF6F04">
        <w:rPr>
          <w:i/>
          <w:lang w:val="fr-FR"/>
        </w:rPr>
        <w:t>Recueil des arrêts et décisions</w:t>
      </w:r>
      <w:r w:rsidR="00AF5649" w:rsidRPr="00EF6F04">
        <w:rPr>
          <w:lang w:val="fr-FR"/>
        </w:rPr>
        <w:t xml:space="preserve"> 1996</w:t>
      </w:r>
      <w:r w:rsidR="00AF5649" w:rsidRPr="00EF6F04">
        <w:rPr>
          <w:lang w:val="fr-FR"/>
        </w:rPr>
        <w:noBreakHyphen/>
        <w:t>IV </w:t>
      </w:r>
      <w:r w:rsidR="008B1E64" w:rsidRPr="00EF6F04">
        <w:rPr>
          <w:lang w:val="fr-FR"/>
        </w:rPr>
        <w:t xml:space="preserve">; </w:t>
      </w:r>
      <w:r w:rsidR="009B74D4" w:rsidRPr="00EF6F04">
        <w:rPr>
          <w:i/>
          <w:lang w:val="fr-FR"/>
        </w:rPr>
        <w:t>Vernillo</w:t>
      </w:r>
      <w:r w:rsidR="00AF5649" w:rsidRPr="00EF6F04">
        <w:rPr>
          <w:i/>
          <w:lang w:val="fr-FR"/>
        </w:rPr>
        <w:t xml:space="preserve"> </w:t>
      </w:r>
      <w:r w:rsidR="009B74D4" w:rsidRPr="00EF6F04">
        <w:rPr>
          <w:i/>
          <w:lang w:val="fr-FR"/>
        </w:rPr>
        <w:t>c. France</w:t>
      </w:r>
      <w:r w:rsidR="009B74D4" w:rsidRPr="00EF6F04">
        <w:rPr>
          <w:lang w:val="fr-FR"/>
        </w:rPr>
        <w:t>, arrêt du 20 février 1991, série A n</w:t>
      </w:r>
      <w:r w:rsidR="006317C1" w:rsidRPr="00EF6F04">
        <w:rPr>
          <w:vertAlign w:val="superscript"/>
          <w:lang w:val="fr-FR"/>
        </w:rPr>
        <w:t>o</w:t>
      </w:r>
      <w:r w:rsidR="008B1E64" w:rsidRPr="00EF6F04">
        <w:rPr>
          <w:lang w:val="fr-FR"/>
        </w:rPr>
        <w:t>198, pp. 11–12, § 27</w:t>
      </w:r>
      <w:r w:rsidR="009B74D4" w:rsidRPr="00EF6F04">
        <w:rPr>
          <w:lang w:val="fr-FR"/>
        </w:rPr>
        <w:t>).</w:t>
      </w:r>
    </w:p>
    <w:p w:rsidR="009B74D4" w:rsidRPr="00EF6F04" w:rsidRDefault="00D11DE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43</w:t>
      </w:r>
      <w:r w:rsidRPr="00EF6F04">
        <w:rPr>
          <w:lang w:val="fr-FR"/>
        </w:rPr>
        <w:fldChar w:fldCharType="end"/>
      </w:r>
      <w:r w:rsidRPr="00EF6F04">
        <w:rPr>
          <w:lang w:val="fr-FR"/>
        </w:rPr>
        <w:t>.  </w:t>
      </w:r>
      <w:r w:rsidR="009B74D4" w:rsidRPr="00EF6F04">
        <w:rPr>
          <w:lang w:val="fr-FR"/>
        </w:rPr>
        <w:t xml:space="preserve">Selon la Cour, </w:t>
      </w:r>
      <w:r w:rsidR="003C6224" w:rsidRPr="00EF6F04">
        <w:rPr>
          <w:lang w:val="fr-FR"/>
        </w:rPr>
        <w:t>p</w:t>
      </w:r>
      <w:r w:rsidR="009B74D4" w:rsidRPr="00EF6F04">
        <w:rPr>
          <w:lang w:val="fr-FR"/>
        </w:rPr>
        <w:t>our pouvoir être jugé effectif, un recours doit être susceptible de remédier directement à la situation incriminée et présenter des perspectives raisonnables de succès (</w:t>
      </w:r>
      <w:r w:rsidR="009B74D4" w:rsidRPr="00EF6F04">
        <w:rPr>
          <w:i/>
          <w:lang w:val="fr-FR"/>
        </w:rPr>
        <w:t>Sejdovic c. Italie</w:t>
      </w:r>
      <w:r w:rsidR="009B74D4" w:rsidRPr="00EF6F04">
        <w:rPr>
          <w:lang w:val="fr-FR"/>
        </w:rPr>
        <w:t xml:space="preserve"> [GC], n</w:t>
      </w:r>
      <w:r w:rsidR="009B74D4" w:rsidRPr="00EF6F04">
        <w:rPr>
          <w:vertAlign w:val="superscript"/>
          <w:lang w:val="fr-FR"/>
        </w:rPr>
        <w:t>o</w:t>
      </w:r>
      <w:r w:rsidR="009B74D4" w:rsidRPr="00EF6F04">
        <w:rPr>
          <w:lang w:val="fr-FR"/>
        </w:rPr>
        <w:t> 56581/00, § 46, CEDH 2006</w:t>
      </w:r>
      <w:r w:rsidR="009B74D4" w:rsidRPr="00EF6F04">
        <w:rPr>
          <w:lang w:val="fr-FR"/>
        </w:rPr>
        <w:noBreakHyphen/>
        <w:t>II</w:t>
      </w:r>
      <w:r w:rsidR="008D64A6" w:rsidRPr="00EF6F04">
        <w:rPr>
          <w:lang w:val="fr-FR"/>
        </w:rPr>
        <w:t> ;</w:t>
      </w:r>
      <w:r w:rsidR="009B74D4" w:rsidRPr="00EF6F04">
        <w:rPr>
          <w:lang w:val="fr-FR"/>
        </w:rPr>
        <w:t xml:space="preserve"> </w:t>
      </w:r>
      <w:r w:rsidR="009B74D4" w:rsidRPr="00EF6F04">
        <w:rPr>
          <w:i/>
          <w:lang w:val="fr-FR"/>
        </w:rPr>
        <w:t>Vučković et autres</w:t>
      </w:r>
      <w:r w:rsidR="009B74D4" w:rsidRPr="00EF6F04">
        <w:rPr>
          <w:lang w:val="fr-FR"/>
        </w:rPr>
        <w:t xml:space="preserve">, précité, § 74 et </w:t>
      </w:r>
      <w:r w:rsidR="009B74D4" w:rsidRPr="00EF6F04">
        <w:rPr>
          <w:i/>
          <w:lang w:val="fr-FR"/>
        </w:rPr>
        <w:t>Balogh c. Hongrie</w:t>
      </w:r>
      <w:r w:rsidR="009B74D4" w:rsidRPr="00EF6F04">
        <w:rPr>
          <w:lang w:val="fr-FR"/>
        </w:rPr>
        <w:t>, n</w:t>
      </w:r>
      <w:r w:rsidR="009B74D4" w:rsidRPr="00EF6F04">
        <w:rPr>
          <w:vertAlign w:val="superscript"/>
          <w:lang w:val="fr-FR"/>
        </w:rPr>
        <w:t>o</w:t>
      </w:r>
      <w:r w:rsidR="009B74D4" w:rsidRPr="00EF6F04">
        <w:rPr>
          <w:lang w:val="fr-FR"/>
        </w:rPr>
        <w:t> 47940/99, § 30, 20 juillet 2004).</w:t>
      </w:r>
    </w:p>
    <w:p w:rsidR="006317C1" w:rsidRPr="00EF6F04" w:rsidRDefault="00CC4CF6"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44</w:t>
      </w:r>
      <w:r w:rsidRPr="00EF6F04">
        <w:rPr>
          <w:lang w:val="fr-FR"/>
        </w:rPr>
        <w:fldChar w:fldCharType="end"/>
      </w:r>
      <w:r w:rsidRPr="00EF6F04">
        <w:rPr>
          <w:lang w:val="fr-FR"/>
        </w:rPr>
        <w:t>.  </w:t>
      </w:r>
      <w:r w:rsidR="00082203" w:rsidRPr="00EF6F04">
        <w:rPr>
          <w:lang w:val="fr-FR"/>
        </w:rPr>
        <w:t>Les recours dont un justiciable dispose au plan interne pour se plaindre de la durée d</w:t>
      </w:r>
      <w:r w:rsidR="00EF6F04" w:rsidRPr="00EF6F04">
        <w:rPr>
          <w:lang w:val="fr-FR"/>
        </w:rPr>
        <w:t>’</w:t>
      </w:r>
      <w:r w:rsidR="00082203" w:rsidRPr="00EF6F04">
        <w:rPr>
          <w:lang w:val="fr-FR"/>
        </w:rPr>
        <w:t>une procédure sont « effectifs », au sens de l</w:t>
      </w:r>
      <w:r w:rsidR="00EF6F04" w:rsidRPr="00EF6F04">
        <w:rPr>
          <w:lang w:val="fr-FR"/>
        </w:rPr>
        <w:t>’</w:t>
      </w:r>
      <w:r w:rsidR="00082203" w:rsidRPr="00EF6F04">
        <w:rPr>
          <w:lang w:val="fr-FR"/>
        </w:rPr>
        <w:t>article</w:t>
      </w:r>
      <w:r w:rsidR="00F749C2" w:rsidRPr="00EF6F04">
        <w:rPr>
          <w:lang w:val="fr-FR"/>
        </w:rPr>
        <w:t> </w:t>
      </w:r>
      <w:r w:rsidR="00082203" w:rsidRPr="00EF6F04">
        <w:rPr>
          <w:lang w:val="fr-FR"/>
        </w:rPr>
        <w:t xml:space="preserve">13 de la Convention, </w:t>
      </w:r>
      <w:r w:rsidR="00E843E8" w:rsidRPr="00EF6F04">
        <w:rPr>
          <w:lang w:val="fr-FR"/>
        </w:rPr>
        <w:t>dès lors qu</w:t>
      </w:r>
      <w:r w:rsidR="00EF6F04" w:rsidRPr="00EF6F04">
        <w:rPr>
          <w:lang w:val="fr-FR"/>
        </w:rPr>
        <w:t>’</w:t>
      </w:r>
      <w:r w:rsidR="00E843E8" w:rsidRPr="00EF6F04">
        <w:rPr>
          <w:lang w:val="fr-FR"/>
        </w:rPr>
        <w:t>il</w:t>
      </w:r>
      <w:r w:rsidR="00082203" w:rsidRPr="00EF6F04">
        <w:rPr>
          <w:lang w:val="fr-FR"/>
        </w:rPr>
        <w:t>s</w:t>
      </w:r>
      <w:r w:rsidR="00E843E8" w:rsidRPr="00EF6F04">
        <w:rPr>
          <w:lang w:val="fr-FR"/>
        </w:rPr>
        <w:t xml:space="preserve"> permet</w:t>
      </w:r>
      <w:r w:rsidR="00082203" w:rsidRPr="00EF6F04">
        <w:rPr>
          <w:lang w:val="fr-FR"/>
        </w:rPr>
        <w:t>tent</w:t>
      </w:r>
      <w:r w:rsidR="00E843E8" w:rsidRPr="00EF6F04">
        <w:rPr>
          <w:lang w:val="fr-FR"/>
        </w:rPr>
        <w:t xml:space="preserve"> soit de faire intervenir plus tôt la décision des juridictions saisies, soit de fournir au justiciable une réparation adéquate pour les retards déjà accusés (</w:t>
      </w:r>
      <w:r w:rsidR="00E843E8" w:rsidRPr="00EF6F04">
        <w:rPr>
          <w:i/>
          <w:lang w:val="fr-FR"/>
        </w:rPr>
        <w:t>Sürmeli c.</w:t>
      </w:r>
      <w:r w:rsidR="00F749C2" w:rsidRPr="00EF6F04">
        <w:rPr>
          <w:i/>
          <w:lang w:val="fr-FR"/>
        </w:rPr>
        <w:t> </w:t>
      </w:r>
      <w:r w:rsidR="00E843E8" w:rsidRPr="00EF6F04">
        <w:rPr>
          <w:i/>
          <w:lang w:val="fr-FR"/>
        </w:rPr>
        <w:t>Allemagne</w:t>
      </w:r>
      <w:r w:rsidR="00E843E8" w:rsidRPr="00EF6F04">
        <w:rPr>
          <w:lang w:val="fr-FR"/>
        </w:rPr>
        <w:t xml:space="preserve"> [GC], n</w:t>
      </w:r>
      <w:r w:rsidR="006317C1" w:rsidRPr="00EF6F04">
        <w:rPr>
          <w:vertAlign w:val="superscript"/>
          <w:lang w:val="fr-FR"/>
        </w:rPr>
        <w:t>o</w:t>
      </w:r>
      <w:r w:rsidR="00E843E8" w:rsidRPr="00EF6F04">
        <w:rPr>
          <w:lang w:val="fr-FR"/>
        </w:rPr>
        <w:t xml:space="preserve"> 75529/01</w:t>
      </w:r>
      <w:r w:rsidR="00082203" w:rsidRPr="00EF6F04">
        <w:rPr>
          <w:lang w:val="fr-FR"/>
        </w:rPr>
        <w:t>, § 99, CEDH 2006</w:t>
      </w:r>
      <w:r w:rsidR="00082203" w:rsidRPr="00EF6F04">
        <w:rPr>
          <w:lang w:val="fr-FR"/>
        </w:rPr>
        <w:noBreakHyphen/>
        <w:t>VII ;</w:t>
      </w:r>
      <w:r w:rsidR="00E843E8" w:rsidRPr="00EF6F04">
        <w:rPr>
          <w:lang w:val="fr-FR"/>
        </w:rPr>
        <w:t xml:space="preserve"> </w:t>
      </w:r>
      <w:r w:rsidR="00AF5649" w:rsidRPr="00EF6F04">
        <w:rPr>
          <w:i/>
          <w:lang w:val="fr-FR"/>
        </w:rPr>
        <w:t>Vassilios </w:t>
      </w:r>
      <w:r w:rsidR="00E843E8" w:rsidRPr="00EF6F04">
        <w:rPr>
          <w:i/>
          <w:lang w:val="fr-FR"/>
        </w:rPr>
        <w:t>Athanasiou et autres c. Grèce</w:t>
      </w:r>
      <w:r w:rsidR="00E843E8" w:rsidRPr="00EF6F04">
        <w:rPr>
          <w:lang w:val="fr-FR"/>
        </w:rPr>
        <w:t>, n</w:t>
      </w:r>
      <w:r w:rsidR="006317C1" w:rsidRPr="00EF6F04">
        <w:rPr>
          <w:vertAlign w:val="superscript"/>
          <w:lang w:val="fr-FR"/>
        </w:rPr>
        <w:t>o</w:t>
      </w:r>
      <w:r w:rsidR="00E843E8" w:rsidRPr="00EF6F04">
        <w:rPr>
          <w:lang w:val="fr-FR"/>
        </w:rPr>
        <w:t xml:space="preserve"> 50973/08, § 54, 21 décembre 2010).</w:t>
      </w:r>
    </w:p>
    <w:p w:rsidR="00082203" w:rsidRPr="00EF6F04" w:rsidRDefault="00082203" w:rsidP="00EF6F04">
      <w:pPr>
        <w:pStyle w:val="ECHRPara"/>
        <w:rPr>
          <w:szCs w:val="24"/>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45</w:t>
      </w:r>
      <w:r w:rsidRPr="00EF6F04">
        <w:rPr>
          <w:lang w:val="fr-FR"/>
        </w:rPr>
        <w:fldChar w:fldCharType="end"/>
      </w:r>
      <w:r w:rsidRPr="00EF6F04">
        <w:rPr>
          <w:lang w:val="fr-FR"/>
        </w:rPr>
        <w:t>.</w:t>
      </w:r>
      <w:r w:rsidR="00CE65C8" w:rsidRPr="00EF6F04">
        <w:rPr>
          <w:lang w:val="fr-FR"/>
        </w:rPr>
        <w:t>  </w:t>
      </w:r>
      <w:r w:rsidR="00AC3008" w:rsidRPr="00EF6F04">
        <w:rPr>
          <w:lang w:val="fr-FR"/>
        </w:rPr>
        <w:t>L</w:t>
      </w:r>
      <w:r w:rsidRPr="00EF6F04">
        <w:rPr>
          <w:lang w:val="fr-FR"/>
        </w:rPr>
        <w:t xml:space="preserve">a Cour a </w:t>
      </w:r>
      <w:r w:rsidR="00AC3008" w:rsidRPr="00EF6F04">
        <w:rPr>
          <w:lang w:val="fr-FR"/>
        </w:rPr>
        <w:t xml:space="preserve">affirmé à maintes reprises </w:t>
      </w:r>
      <w:r w:rsidRPr="00EF6F04">
        <w:rPr>
          <w:lang w:val="fr-FR"/>
        </w:rPr>
        <w:t>que le meilleur remède dans l</w:t>
      </w:r>
      <w:r w:rsidR="00EF6F04" w:rsidRPr="00EF6F04">
        <w:rPr>
          <w:lang w:val="fr-FR"/>
        </w:rPr>
        <w:t>’</w:t>
      </w:r>
      <w:r w:rsidRPr="00EF6F04">
        <w:rPr>
          <w:lang w:val="fr-FR"/>
        </w:rPr>
        <w:t>absolu est, comme dans de nombreux domaines, la prévention. Lorsqu</w:t>
      </w:r>
      <w:r w:rsidR="00EF6F04" w:rsidRPr="00EF6F04">
        <w:rPr>
          <w:lang w:val="fr-FR"/>
        </w:rPr>
        <w:t>’</w:t>
      </w:r>
      <w:r w:rsidRPr="00EF6F04">
        <w:rPr>
          <w:lang w:val="fr-FR"/>
        </w:rPr>
        <w:t>un système judiciaire s</w:t>
      </w:r>
      <w:r w:rsidR="00EF6F04" w:rsidRPr="00EF6F04">
        <w:rPr>
          <w:lang w:val="fr-FR"/>
        </w:rPr>
        <w:t>’</w:t>
      </w:r>
      <w:r w:rsidRPr="00EF6F04">
        <w:rPr>
          <w:lang w:val="fr-FR"/>
        </w:rPr>
        <w:t>avère défaillant à l</w:t>
      </w:r>
      <w:r w:rsidR="00EF6F04" w:rsidRPr="00EF6F04">
        <w:rPr>
          <w:lang w:val="fr-FR"/>
        </w:rPr>
        <w:t>’</w:t>
      </w:r>
      <w:r w:rsidRPr="00EF6F04">
        <w:rPr>
          <w:lang w:val="fr-FR"/>
        </w:rPr>
        <w:t>égard de l</w:t>
      </w:r>
      <w:r w:rsidR="00EF6F04" w:rsidRPr="00EF6F04">
        <w:rPr>
          <w:lang w:val="fr-FR"/>
        </w:rPr>
        <w:t>’</w:t>
      </w:r>
      <w:r w:rsidRPr="00EF6F04">
        <w:rPr>
          <w:lang w:val="fr-FR"/>
        </w:rPr>
        <w:t>exigence découlant de l</w:t>
      </w:r>
      <w:r w:rsidR="00EF6F04" w:rsidRPr="00EF6F04">
        <w:rPr>
          <w:lang w:val="fr-FR"/>
        </w:rPr>
        <w:t>’</w:t>
      </w:r>
      <w:r w:rsidR="00BE0811" w:rsidRPr="00EF6F04">
        <w:rPr>
          <w:lang w:val="fr-FR"/>
        </w:rPr>
        <w:t>article 6 </w:t>
      </w:r>
      <w:r w:rsidRPr="00EF6F04">
        <w:rPr>
          <w:lang w:val="fr-FR"/>
        </w:rPr>
        <w:t>§</w:t>
      </w:r>
      <w:r w:rsidR="00BE0811" w:rsidRPr="00EF6F04">
        <w:rPr>
          <w:lang w:val="fr-FR"/>
        </w:rPr>
        <w:t> </w:t>
      </w:r>
      <w:r w:rsidRPr="00EF6F04">
        <w:rPr>
          <w:lang w:val="fr-FR"/>
        </w:rPr>
        <w:t>1 de la Convention quant au délai raisonnable, un recours permettant de faire accélérer la procédure afin d</w:t>
      </w:r>
      <w:r w:rsidR="00EF6F04" w:rsidRPr="00EF6F04">
        <w:rPr>
          <w:lang w:val="fr-FR"/>
        </w:rPr>
        <w:t>’</w:t>
      </w:r>
      <w:r w:rsidRPr="00EF6F04">
        <w:rPr>
          <w:lang w:val="fr-FR"/>
        </w:rPr>
        <w:t>empêcher la survenance d</w:t>
      </w:r>
      <w:r w:rsidR="00EF6F04" w:rsidRPr="00EF6F04">
        <w:rPr>
          <w:lang w:val="fr-FR"/>
        </w:rPr>
        <w:t>’</w:t>
      </w:r>
      <w:r w:rsidRPr="00EF6F04">
        <w:rPr>
          <w:lang w:val="fr-FR"/>
        </w:rPr>
        <w:t xml:space="preserve">une durée excessive constitue la solution la plus efficace. Un tel recours présente un avantage incontestable par rapport à un recours uniquement indemnitaire car il </w:t>
      </w:r>
      <w:r w:rsidR="00AC3008" w:rsidRPr="00EF6F04">
        <w:rPr>
          <w:lang w:val="fr-FR"/>
        </w:rPr>
        <w:t>permet d</w:t>
      </w:r>
      <w:r w:rsidR="00EF6F04" w:rsidRPr="00EF6F04">
        <w:rPr>
          <w:lang w:val="fr-FR"/>
        </w:rPr>
        <w:t>’</w:t>
      </w:r>
      <w:r w:rsidR="00AC3008" w:rsidRPr="00EF6F04">
        <w:rPr>
          <w:lang w:val="fr-FR"/>
        </w:rPr>
        <w:t>hâter la décision de la juridiction concernée</w:t>
      </w:r>
      <w:r w:rsidR="00AE5B9B" w:rsidRPr="00EF6F04">
        <w:rPr>
          <w:lang w:val="fr-FR"/>
        </w:rPr>
        <w:t>. I</w:t>
      </w:r>
      <w:r w:rsidR="00AC3008" w:rsidRPr="00EF6F04">
        <w:rPr>
          <w:lang w:val="fr-FR"/>
        </w:rPr>
        <w:t xml:space="preserve">l </w:t>
      </w:r>
      <w:r w:rsidRPr="00EF6F04">
        <w:rPr>
          <w:lang w:val="fr-FR"/>
        </w:rPr>
        <w:t>évite également d</w:t>
      </w:r>
      <w:r w:rsidR="00EF6F04" w:rsidRPr="00EF6F04">
        <w:rPr>
          <w:lang w:val="fr-FR"/>
        </w:rPr>
        <w:t>’</w:t>
      </w:r>
      <w:r w:rsidRPr="00EF6F04">
        <w:rPr>
          <w:lang w:val="fr-FR"/>
        </w:rPr>
        <w:t xml:space="preserve">avoir à constater des violations successives pour la même procédure et ne se limite pas à agir </w:t>
      </w:r>
      <w:r w:rsidRPr="00EF6F04">
        <w:rPr>
          <w:i/>
          <w:lang w:val="fr-FR"/>
        </w:rPr>
        <w:t>a posteriori</w:t>
      </w:r>
      <w:r w:rsidRPr="00EF6F04">
        <w:rPr>
          <w:lang w:val="fr-FR"/>
        </w:rPr>
        <w:t xml:space="preserve"> comme </w:t>
      </w:r>
      <w:r w:rsidR="00AC3008" w:rsidRPr="00EF6F04">
        <w:rPr>
          <w:lang w:val="fr-FR"/>
        </w:rPr>
        <w:t>le fait un recours indemnitaire</w:t>
      </w:r>
      <w:r w:rsidRPr="00EF6F04">
        <w:rPr>
          <w:lang w:val="fr-FR"/>
        </w:rPr>
        <w:t xml:space="preserve"> (</w:t>
      </w:r>
      <w:r w:rsidR="00026B9F" w:rsidRPr="00EF6F04">
        <w:rPr>
          <w:i/>
          <w:szCs w:val="24"/>
          <w:lang w:val="fr-FR"/>
        </w:rPr>
        <w:t xml:space="preserve">Scordino </w:t>
      </w:r>
      <w:r w:rsidR="00026B9F" w:rsidRPr="00EF6F04">
        <w:rPr>
          <w:szCs w:val="24"/>
          <w:lang w:val="fr-FR"/>
        </w:rPr>
        <w:t>précité</w:t>
      </w:r>
      <w:r w:rsidR="00D41AD8" w:rsidRPr="00EF6F04">
        <w:rPr>
          <w:szCs w:val="24"/>
          <w:lang w:val="fr-FR"/>
        </w:rPr>
        <w:t>, § 183</w:t>
      </w:r>
      <w:r w:rsidR="005668CB" w:rsidRPr="00EF6F04">
        <w:rPr>
          <w:szCs w:val="24"/>
          <w:lang w:val="fr-FR"/>
        </w:rPr>
        <w:t xml:space="preserve"> ; </w:t>
      </w:r>
      <w:r w:rsidRPr="00EF6F04">
        <w:rPr>
          <w:i/>
          <w:lang w:val="fr-FR"/>
        </w:rPr>
        <w:t>Cocchiarella précité</w:t>
      </w:r>
      <w:r w:rsidR="001B2462" w:rsidRPr="00EF6F04">
        <w:rPr>
          <w:lang w:val="fr-FR"/>
        </w:rPr>
        <w:t>, §</w:t>
      </w:r>
      <w:r w:rsidRPr="00EF6F04">
        <w:rPr>
          <w:lang w:val="fr-FR"/>
        </w:rPr>
        <w:t xml:space="preserve"> 74).</w:t>
      </w:r>
    </w:p>
    <w:p w:rsidR="00AC3008" w:rsidRPr="00EF6F04" w:rsidRDefault="00AC3008"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46</w:t>
      </w:r>
      <w:r w:rsidRPr="00EF6F04">
        <w:rPr>
          <w:lang w:val="fr-FR"/>
        </w:rPr>
        <w:fldChar w:fldCharType="end"/>
      </w:r>
      <w:r w:rsidRPr="00EF6F04">
        <w:rPr>
          <w:lang w:val="fr-FR"/>
        </w:rPr>
        <w:t>.  Il est aussi évident que, pour les pays où existent déjà des violations liées à la durée de procédures, un recours tendant uniquement à accélérer la procédure, s</w:t>
      </w:r>
      <w:r w:rsidR="00EF6F04" w:rsidRPr="00EF6F04">
        <w:rPr>
          <w:lang w:val="fr-FR"/>
        </w:rPr>
        <w:t>’</w:t>
      </w:r>
      <w:r w:rsidRPr="00EF6F04">
        <w:rPr>
          <w:lang w:val="fr-FR"/>
        </w:rPr>
        <w:t>il serait souhaitable pour l</w:t>
      </w:r>
      <w:r w:rsidR="00EF6F04" w:rsidRPr="00EF6F04">
        <w:rPr>
          <w:lang w:val="fr-FR"/>
        </w:rPr>
        <w:t>’</w:t>
      </w:r>
      <w:r w:rsidRPr="00EF6F04">
        <w:rPr>
          <w:lang w:val="fr-FR"/>
        </w:rPr>
        <w:t>avenir, peut ne pas être suffisant pour redresser une situation où il est manifeste que la procédure s</w:t>
      </w:r>
      <w:r w:rsidR="00EF6F04" w:rsidRPr="00EF6F04">
        <w:rPr>
          <w:lang w:val="fr-FR"/>
        </w:rPr>
        <w:t>’</w:t>
      </w:r>
      <w:r w:rsidRPr="00EF6F04">
        <w:rPr>
          <w:lang w:val="fr-FR"/>
        </w:rPr>
        <w:t>est déjà étendue sur une période excessive.</w:t>
      </w:r>
    </w:p>
    <w:p w:rsidR="00AC3008" w:rsidRPr="00EF6F04" w:rsidRDefault="00AC3008"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47</w:t>
      </w:r>
      <w:r w:rsidRPr="00EF6F04">
        <w:rPr>
          <w:lang w:val="fr-FR"/>
        </w:rPr>
        <w:fldChar w:fldCharType="end"/>
      </w:r>
      <w:r w:rsidRPr="00EF6F04">
        <w:rPr>
          <w:lang w:val="fr-FR"/>
        </w:rPr>
        <w:t xml:space="preserve">.  Différents types de recours peuvent </w:t>
      </w:r>
      <w:r w:rsidR="001B2462" w:rsidRPr="00EF6F04">
        <w:rPr>
          <w:lang w:val="fr-FR"/>
        </w:rPr>
        <w:t xml:space="preserve">donc coexister dans le but de </w:t>
      </w:r>
      <w:r w:rsidRPr="00EF6F04">
        <w:rPr>
          <w:lang w:val="fr-FR"/>
        </w:rPr>
        <w:t>redresser la violation de façon appropriée. La Cour l</w:t>
      </w:r>
      <w:r w:rsidR="00EF6F04" w:rsidRPr="00EF6F04">
        <w:rPr>
          <w:lang w:val="fr-FR"/>
        </w:rPr>
        <w:t>’</w:t>
      </w:r>
      <w:r w:rsidRPr="00EF6F04">
        <w:rPr>
          <w:lang w:val="fr-FR"/>
        </w:rPr>
        <w:t>a déjà affirmé en matière pénale en jugeant satisfaisante la prise en compte de la durée de la procédure pour octroyer une réduction de la peine de façon expresse et mesurable (</w:t>
      </w:r>
      <w:r w:rsidRPr="00EF6F04">
        <w:rPr>
          <w:i/>
          <w:lang w:val="fr-FR"/>
        </w:rPr>
        <w:t>Beck c. Norvège</w:t>
      </w:r>
      <w:r w:rsidRPr="00EF6F04">
        <w:rPr>
          <w:lang w:val="fr-FR"/>
        </w:rPr>
        <w:t>, n</w:t>
      </w:r>
      <w:r w:rsidR="006317C1" w:rsidRPr="00EF6F04">
        <w:rPr>
          <w:vertAlign w:val="superscript"/>
          <w:lang w:val="fr-FR"/>
        </w:rPr>
        <w:t>o</w:t>
      </w:r>
      <w:r w:rsidRPr="00EF6F04">
        <w:rPr>
          <w:lang w:val="fr-FR"/>
        </w:rPr>
        <w:t xml:space="preserve"> 26390/95, § 27, 26 juin 2001).</w:t>
      </w:r>
      <w:r w:rsidR="001B2462" w:rsidRPr="00EF6F04">
        <w:rPr>
          <w:lang w:val="fr-FR"/>
        </w:rPr>
        <w:t xml:space="preserve"> </w:t>
      </w:r>
      <w:r w:rsidRPr="00EF6F04">
        <w:rPr>
          <w:lang w:val="fr-FR"/>
        </w:rPr>
        <w:t xml:space="preserve">Par ailleurs, certains </w:t>
      </w:r>
      <w:r w:rsidR="001B2462" w:rsidRPr="00EF6F04">
        <w:rPr>
          <w:lang w:val="fr-FR"/>
        </w:rPr>
        <w:t>États</w:t>
      </w:r>
      <w:r w:rsidRPr="00EF6F04">
        <w:rPr>
          <w:lang w:val="fr-FR"/>
        </w:rPr>
        <w:t xml:space="preserve"> l</w:t>
      </w:r>
      <w:r w:rsidR="00EF6F04" w:rsidRPr="00EF6F04">
        <w:rPr>
          <w:lang w:val="fr-FR"/>
        </w:rPr>
        <w:t>’</w:t>
      </w:r>
      <w:r w:rsidRPr="00EF6F04">
        <w:rPr>
          <w:lang w:val="fr-FR"/>
        </w:rPr>
        <w:t xml:space="preserve">ont parfaitement compris en choisissant de combiner deux </w:t>
      </w:r>
      <w:r w:rsidRPr="00EF6F04">
        <w:rPr>
          <w:lang w:val="fr-FR"/>
        </w:rPr>
        <w:lastRenderedPageBreak/>
        <w:t>types de recours, l</w:t>
      </w:r>
      <w:r w:rsidR="00EF6F04" w:rsidRPr="00EF6F04">
        <w:rPr>
          <w:lang w:val="fr-FR"/>
        </w:rPr>
        <w:t>’</w:t>
      </w:r>
      <w:r w:rsidRPr="00EF6F04">
        <w:rPr>
          <w:lang w:val="fr-FR"/>
        </w:rPr>
        <w:t>un tendant à accélérer la procédure et l</w:t>
      </w:r>
      <w:r w:rsidR="00EF6F04" w:rsidRPr="00EF6F04">
        <w:rPr>
          <w:lang w:val="fr-FR"/>
        </w:rPr>
        <w:t>’</w:t>
      </w:r>
      <w:r w:rsidRPr="00EF6F04">
        <w:rPr>
          <w:lang w:val="fr-FR"/>
        </w:rPr>
        <w:t>au</w:t>
      </w:r>
      <w:r w:rsidR="001B2462" w:rsidRPr="00EF6F04">
        <w:rPr>
          <w:lang w:val="fr-FR"/>
        </w:rPr>
        <w:t>tre de nature indemnitaire (</w:t>
      </w:r>
      <w:r w:rsidR="001B2462" w:rsidRPr="00EF6F04">
        <w:rPr>
          <w:i/>
          <w:szCs w:val="24"/>
          <w:lang w:val="fr-FR"/>
        </w:rPr>
        <w:t xml:space="preserve">Cocchiarella </w:t>
      </w:r>
      <w:r w:rsidR="001B2462" w:rsidRPr="00EF6F04">
        <w:rPr>
          <w:szCs w:val="24"/>
          <w:lang w:val="fr-FR"/>
        </w:rPr>
        <w:t xml:space="preserve">précité, § 77 ; </w:t>
      </w:r>
      <w:r w:rsidR="001B2462" w:rsidRPr="00EF6F04">
        <w:rPr>
          <w:i/>
          <w:szCs w:val="24"/>
          <w:lang w:val="fr-FR"/>
        </w:rPr>
        <w:t xml:space="preserve">Scordino </w:t>
      </w:r>
      <w:r w:rsidR="001B2462" w:rsidRPr="00EF6F04">
        <w:rPr>
          <w:szCs w:val="24"/>
          <w:lang w:val="fr-FR"/>
        </w:rPr>
        <w:t>précité, § 186</w:t>
      </w:r>
      <w:r w:rsidRPr="00EF6F04">
        <w:rPr>
          <w:lang w:val="fr-FR"/>
        </w:rPr>
        <w:t>).</w:t>
      </w:r>
    </w:p>
    <w:p w:rsidR="00AC3008" w:rsidRPr="00EF6F04" w:rsidRDefault="0067215E" w:rsidP="00EF6F04">
      <w:pPr>
        <w:pStyle w:val="ECHRHeading5"/>
        <w:rPr>
          <w:lang w:val="fr-FR"/>
        </w:rPr>
      </w:pPr>
      <w:r w:rsidRPr="00EF6F04">
        <w:rPr>
          <w:lang w:val="fr-FR"/>
        </w:rPr>
        <w:t>ii</w:t>
      </w:r>
      <w:r w:rsidR="00C276BB" w:rsidRPr="00EF6F04">
        <w:rPr>
          <w:lang w:val="fr-FR"/>
        </w:rPr>
        <w:t>.  </w:t>
      </w:r>
      <w:r w:rsidR="001A2E2D" w:rsidRPr="00EF6F04">
        <w:rPr>
          <w:lang w:val="fr-FR"/>
        </w:rPr>
        <w:t>Application des principes au cas d</w:t>
      </w:r>
      <w:r w:rsidR="00EF6F04" w:rsidRPr="00EF6F04">
        <w:rPr>
          <w:lang w:val="fr-FR"/>
        </w:rPr>
        <w:t>’</w:t>
      </w:r>
      <w:r w:rsidR="001A2E2D" w:rsidRPr="00EF6F04">
        <w:rPr>
          <w:lang w:val="fr-FR"/>
        </w:rPr>
        <w:t>espèce</w:t>
      </w:r>
    </w:p>
    <w:p w:rsidR="00BE439A" w:rsidRPr="00EF6F04" w:rsidRDefault="000067CC" w:rsidP="00EF6F04">
      <w:pPr>
        <w:pStyle w:val="ECHRPara"/>
        <w:rPr>
          <w:i/>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48</w:t>
      </w:r>
      <w:r w:rsidRPr="00EF6F04">
        <w:rPr>
          <w:lang w:val="fr-FR"/>
        </w:rPr>
        <w:fldChar w:fldCharType="end"/>
      </w:r>
      <w:r w:rsidRPr="00EF6F04">
        <w:rPr>
          <w:lang w:val="fr-FR"/>
        </w:rPr>
        <w:t>.  </w:t>
      </w:r>
      <w:r w:rsidR="00BE439A" w:rsidRPr="00EF6F04">
        <w:rPr>
          <w:lang w:val="fr-FR"/>
        </w:rPr>
        <w:t>Sans anticiper l</w:t>
      </w:r>
      <w:r w:rsidR="00EF6F04" w:rsidRPr="00EF6F04">
        <w:rPr>
          <w:lang w:val="fr-FR"/>
        </w:rPr>
        <w:t>’</w:t>
      </w:r>
      <w:r w:rsidR="00BE439A" w:rsidRPr="00EF6F04">
        <w:rPr>
          <w:lang w:val="fr-FR"/>
        </w:rPr>
        <w:t>examen de la question de savoir s</w:t>
      </w:r>
      <w:r w:rsidR="00EF6F04" w:rsidRPr="00EF6F04">
        <w:rPr>
          <w:lang w:val="fr-FR"/>
        </w:rPr>
        <w:t>’</w:t>
      </w:r>
      <w:r w:rsidR="00BE439A" w:rsidRPr="00EF6F04">
        <w:rPr>
          <w:lang w:val="fr-FR"/>
        </w:rPr>
        <w:t>il y a eu ou non dépassement du délai raisonnable, la Cour estime que le grief d</w:t>
      </w:r>
      <w:r w:rsidR="00B2305D" w:rsidRPr="00EF6F04">
        <w:rPr>
          <w:lang w:val="fr-FR"/>
        </w:rPr>
        <w:t>es</w:t>
      </w:r>
      <w:r w:rsidR="00BE439A" w:rsidRPr="00EF6F04">
        <w:rPr>
          <w:lang w:val="fr-FR"/>
        </w:rPr>
        <w:t xml:space="preserve"> requérant</w:t>
      </w:r>
      <w:r w:rsidR="00B2305D" w:rsidRPr="00EF6F04">
        <w:rPr>
          <w:lang w:val="fr-FR"/>
        </w:rPr>
        <w:t>s</w:t>
      </w:r>
      <w:r w:rsidR="00EE563C" w:rsidRPr="00EF6F04">
        <w:rPr>
          <w:lang w:val="fr-FR"/>
        </w:rPr>
        <w:t>,</w:t>
      </w:r>
      <w:r w:rsidR="00BE439A" w:rsidRPr="00EF6F04">
        <w:rPr>
          <w:lang w:val="fr-FR"/>
        </w:rPr>
        <w:t xml:space="preserve"> </w:t>
      </w:r>
      <w:r w:rsidR="00403144" w:rsidRPr="00EF6F04">
        <w:rPr>
          <w:lang w:val="fr-FR"/>
        </w:rPr>
        <w:t>relatif à</w:t>
      </w:r>
      <w:r w:rsidR="00BE439A" w:rsidRPr="00EF6F04">
        <w:rPr>
          <w:lang w:val="fr-FR"/>
        </w:rPr>
        <w:t xml:space="preserve"> la durée de</w:t>
      </w:r>
      <w:r w:rsidR="00EE563C" w:rsidRPr="00EF6F04">
        <w:rPr>
          <w:lang w:val="fr-FR"/>
        </w:rPr>
        <w:t>s</w:t>
      </w:r>
      <w:r w:rsidR="00BE439A" w:rsidRPr="00EF6F04">
        <w:rPr>
          <w:lang w:val="fr-FR"/>
        </w:rPr>
        <w:t xml:space="preserve"> procédure</w:t>
      </w:r>
      <w:r w:rsidR="00EE563C" w:rsidRPr="00EF6F04">
        <w:rPr>
          <w:lang w:val="fr-FR"/>
        </w:rPr>
        <w:t>s</w:t>
      </w:r>
      <w:r w:rsidR="00BE439A" w:rsidRPr="00EF6F04">
        <w:rPr>
          <w:lang w:val="fr-FR"/>
        </w:rPr>
        <w:t xml:space="preserve"> ju</w:t>
      </w:r>
      <w:r w:rsidR="00EE563C" w:rsidRPr="00EF6F04">
        <w:rPr>
          <w:lang w:val="fr-FR"/>
        </w:rPr>
        <w:t>ridictionnelles</w:t>
      </w:r>
      <w:r w:rsidR="00BE439A" w:rsidRPr="00EF6F04">
        <w:rPr>
          <w:lang w:val="fr-FR"/>
        </w:rPr>
        <w:t xml:space="preserve"> administrative</w:t>
      </w:r>
      <w:r w:rsidR="00EE563C" w:rsidRPr="00EF6F04">
        <w:rPr>
          <w:lang w:val="fr-FR"/>
        </w:rPr>
        <w:t>s</w:t>
      </w:r>
      <w:r w:rsidR="00BE439A" w:rsidRPr="00EF6F04">
        <w:rPr>
          <w:lang w:val="fr-FR"/>
        </w:rPr>
        <w:t xml:space="preserve"> devant le TAR de Campanie</w:t>
      </w:r>
      <w:r w:rsidR="00EE563C" w:rsidRPr="00EF6F04">
        <w:rPr>
          <w:lang w:val="fr-FR"/>
        </w:rPr>
        <w:t>,</w:t>
      </w:r>
      <w:r w:rsidR="00BE439A" w:rsidRPr="00EF6F04">
        <w:rPr>
          <w:lang w:val="fr-FR"/>
        </w:rPr>
        <w:t xml:space="preserve"> constitue </w:t>
      </w:r>
      <w:r w:rsidR="00BE439A" w:rsidRPr="00EF6F04">
        <w:rPr>
          <w:i/>
          <w:lang w:val="fr-FR"/>
        </w:rPr>
        <w:t>prima facie</w:t>
      </w:r>
      <w:r w:rsidR="00BE439A" w:rsidRPr="00EF6F04">
        <w:rPr>
          <w:lang w:val="fr-FR"/>
        </w:rPr>
        <w:t xml:space="preserve"> un grief « défendable »</w:t>
      </w:r>
      <w:r w:rsidR="00C2770C" w:rsidRPr="00EF6F04">
        <w:rPr>
          <w:lang w:val="fr-FR"/>
        </w:rPr>
        <w:t>. Les procédures ont en effet eu</w:t>
      </w:r>
      <w:r w:rsidR="00EE563C" w:rsidRPr="00EF6F04">
        <w:rPr>
          <w:lang w:val="fr-FR"/>
        </w:rPr>
        <w:t xml:space="preserve"> une </w:t>
      </w:r>
      <w:r w:rsidR="00BE439A" w:rsidRPr="00EF6F04">
        <w:rPr>
          <w:lang w:val="fr-FR"/>
        </w:rPr>
        <w:t>duré</w:t>
      </w:r>
      <w:r w:rsidR="00EE563C" w:rsidRPr="00EF6F04">
        <w:rPr>
          <w:lang w:val="fr-FR"/>
        </w:rPr>
        <w:t>e</w:t>
      </w:r>
      <w:r w:rsidR="00BE439A" w:rsidRPr="00EF6F04">
        <w:rPr>
          <w:lang w:val="fr-FR"/>
        </w:rPr>
        <w:t xml:space="preserve"> </w:t>
      </w:r>
      <w:r w:rsidR="00EE563C" w:rsidRPr="00EF6F04">
        <w:rPr>
          <w:lang w:val="fr-FR"/>
        </w:rPr>
        <w:t xml:space="preserve">de </w:t>
      </w:r>
      <w:r w:rsidR="00BE439A" w:rsidRPr="00EF6F04">
        <w:rPr>
          <w:lang w:val="fr-FR"/>
        </w:rPr>
        <w:t xml:space="preserve">plus de dix-huit ans (voir tableau en annexe). </w:t>
      </w:r>
      <w:r w:rsidR="00C2770C" w:rsidRPr="00EF6F04">
        <w:rPr>
          <w:lang w:val="fr-FR"/>
        </w:rPr>
        <w:t>Les requérants</w:t>
      </w:r>
      <w:r w:rsidR="00B2305D" w:rsidRPr="00EF6F04">
        <w:rPr>
          <w:lang w:val="fr-FR"/>
        </w:rPr>
        <w:t xml:space="preserve"> avaient</w:t>
      </w:r>
      <w:r w:rsidR="00BE439A" w:rsidRPr="00EF6F04">
        <w:rPr>
          <w:lang w:val="fr-FR"/>
        </w:rPr>
        <w:t xml:space="preserve"> donc droit à un recours effectif à cet égard (</w:t>
      </w:r>
      <w:r w:rsidR="00BE439A" w:rsidRPr="00EF6F04">
        <w:rPr>
          <w:i/>
          <w:lang w:val="fr-FR"/>
        </w:rPr>
        <w:t>Valada Matos das Neves</w:t>
      </w:r>
      <w:r w:rsidR="00BE439A" w:rsidRPr="00EF6F04">
        <w:rPr>
          <w:lang w:val="fr-FR"/>
        </w:rPr>
        <w:t xml:space="preserve"> </w:t>
      </w:r>
      <w:r w:rsidR="00BE439A" w:rsidRPr="00EF6F04">
        <w:rPr>
          <w:i/>
          <w:lang w:val="fr-FR"/>
        </w:rPr>
        <w:t>c. Portugal</w:t>
      </w:r>
      <w:r w:rsidR="00BE439A" w:rsidRPr="00EF6F04">
        <w:rPr>
          <w:lang w:val="fr-FR"/>
        </w:rPr>
        <w:t xml:space="preserve">, </w:t>
      </w:r>
      <w:r w:rsidR="00CD0F13" w:rsidRPr="00EF6F04">
        <w:rPr>
          <w:lang w:val="fr-FR"/>
        </w:rPr>
        <w:t>précité</w:t>
      </w:r>
      <w:r w:rsidR="00BE439A" w:rsidRPr="00EF6F04">
        <w:rPr>
          <w:snapToGrid w:val="0"/>
          <w:lang w:val="fr-FR"/>
        </w:rPr>
        <w:t>, § 74</w:t>
      </w:r>
      <w:r w:rsidR="00BE439A" w:rsidRPr="00EF6F04">
        <w:rPr>
          <w:lang w:val="fr-FR"/>
        </w:rPr>
        <w:t>).</w:t>
      </w:r>
    </w:p>
    <w:p w:rsidR="006317C1" w:rsidRPr="00EF6F04" w:rsidRDefault="00BE439A"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49</w:t>
      </w:r>
      <w:r w:rsidRPr="00EF6F04">
        <w:rPr>
          <w:lang w:val="fr-FR"/>
        </w:rPr>
        <w:fldChar w:fldCharType="end"/>
      </w:r>
      <w:r w:rsidRPr="00EF6F04">
        <w:rPr>
          <w:lang w:val="fr-FR"/>
        </w:rPr>
        <w:t>.  L</w:t>
      </w:r>
      <w:r w:rsidR="000067CC" w:rsidRPr="00EF6F04">
        <w:rPr>
          <w:lang w:val="fr-FR"/>
        </w:rPr>
        <w:t xml:space="preserve">a Cour a jugé dans son arrêt </w:t>
      </w:r>
      <w:r w:rsidR="0046526E" w:rsidRPr="00EF6F04">
        <w:rPr>
          <w:i/>
          <w:lang w:val="fr-FR"/>
        </w:rPr>
        <w:t>Kudła</w:t>
      </w:r>
      <w:r w:rsidR="000067CC" w:rsidRPr="00EF6F04">
        <w:rPr>
          <w:i/>
          <w:lang w:val="fr-FR"/>
        </w:rPr>
        <w:t xml:space="preserve"> </w:t>
      </w:r>
      <w:r w:rsidR="000067CC" w:rsidRPr="00EF6F04">
        <w:rPr>
          <w:lang w:val="fr-FR"/>
        </w:rPr>
        <w:t>(précité</w:t>
      </w:r>
      <w:r w:rsidR="000067CC" w:rsidRPr="00EF6F04">
        <w:rPr>
          <w:i/>
          <w:lang w:val="fr-FR"/>
        </w:rPr>
        <w:t xml:space="preserve">, </w:t>
      </w:r>
      <w:r w:rsidR="000067CC" w:rsidRPr="00EF6F04">
        <w:rPr>
          <w:lang w:val="fr-FR"/>
        </w:rPr>
        <w:t>§ 156) que « l</w:t>
      </w:r>
      <w:r w:rsidR="00EF6F04" w:rsidRPr="00EF6F04">
        <w:rPr>
          <w:lang w:val="fr-FR"/>
        </w:rPr>
        <w:t>’</w:t>
      </w:r>
      <w:r w:rsidR="000067CC" w:rsidRPr="00EF6F04">
        <w:rPr>
          <w:lang w:val="fr-FR"/>
        </w:rPr>
        <w:t>interprétation correcte de l</w:t>
      </w:r>
      <w:r w:rsidR="00EF6F04" w:rsidRPr="00EF6F04">
        <w:rPr>
          <w:lang w:val="fr-FR"/>
        </w:rPr>
        <w:t>’</w:t>
      </w:r>
      <w:r w:rsidR="000067CC" w:rsidRPr="00EF6F04">
        <w:rPr>
          <w:lang w:val="fr-FR"/>
        </w:rPr>
        <w:t>article 13 est que cette disposition garantit un recours effectif devant une instance nationale permettant de se plaindre d</w:t>
      </w:r>
      <w:r w:rsidR="00EF6F04" w:rsidRPr="00EF6F04">
        <w:rPr>
          <w:lang w:val="fr-FR"/>
        </w:rPr>
        <w:t>’</w:t>
      </w:r>
      <w:r w:rsidR="000067CC" w:rsidRPr="00EF6F04">
        <w:rPr>
          <w:lang w:val="fr-FR"/>
        </w:rPr>
        <w:t>une méconnaissance de l</w:t>
      </w:r>
      <w:r w:rsidR="00EF6F04" w:rsidRPr="00EF6F04">
        <w:rPr>
          <w:lang w:val="fr-FR"/>
        </w:rPr>
        <w:t>’</w:t>
      </w:r>
      <w:r w:rsidR="000067CC" w:rsidRPr="00EF6F04">
        <w:rPr>
          <w:lang w:val="fr-FR"/>
        </w:rPr>
        <w:t>obligation imposée par l</w:t>
      </w:r>
      <w:r w:rsidR="00EF6F04" w:rsidRPr="00EF6F04">
        <w:rPr>
          <w:lang w:val="fr-FR"/>
        </w:rPr>
        <w:t>’</w:t>
      </w:r>
      <w:r w:rsidR="000067CC" w:rsidRPr="00EF6F04">
        <w:rPr>
          <w:lang w:val="fr-FR"/>
        </w:rPr>
        <w:t>article 6</w:t>
      </w:r>
      <w:r w:rsidR="006F6891" w:rsidRPr="00EF6F04">
        <w:rPr>
          <w:lang w:val="fr-FR"/>
        </w:rPr>
        <w:t xml:space="preserve"> </w:t>
      </w:r>
      <w:r w:rsidR="000067CC" w:rsidRPr="00EF6F04">
        <w:rPr>
          <w:lang w:val="fr-FR"/>
        </w:rPr>
        <w:t>§</w:t>
      </w:r>
      <w:r w:rsidR="006F6891" w:rsidRPr="00EF6F04">
        <w:rPr>
          <w:lang w:val="fr-FR"/>
        </w:rPr>
        <w:t xml:space="preserve"> </w:t>
      </w:r>
      <w:r w:rsidR="000067CC" w:rsidRPr="00EF6F04">
        <w:rPr>
          <w:lang w:val="fr-FR"/>
        </w:rPr>
        <w:t>1</w:t>
      </w:r>
      <w:r w:rsidR="00AA365E" w:rsidRPr="00EF6F04">
        <w:rPr>
          <w:lang w:val="fr-FR"/>
        </w:rPr>
        <w:t xml:space="preserve"> </w:t>
      </w:r>
      <w:r w:rsidR="000067CC" w:rsidRPr="00EF6F04">
        <w:rPr>
          <w:lang w:val="fr-FR"/>
        </w:rPr>
        <w:t>d</w:t>
      </w:r>
      <w:r w:rsidR="00EF6F04" w:rsidRPr="00EF6F04">
        <w:rPr>
          <w:lang w:val="fr-FR"/>
        </w:rPr>
        <w:t>’</w:t>
      </w:r>
      <w:r w:rsidR="000067CC" w:rsidRPr="00EF6F04">
        <w:rPr>
          <w:lang w:val="fr-FR"/>
        </w:rPr>
        <w:t>entendre les causes dans un délai raisonnable.».</w:t>
      </w:r>
    </w:p>
    <w:p w:rsidR="006317C1" w:rsidRPr="00EF6F04" w:rsidRDefault="00B2305D" w:rsidP="00EF6F04">
      <w:pPr>
        <w:pStyle w:val="ECHRPara"/>
        <w:rPr>
          <w:lang w:val="fr-FR"/>
        </w:rPr>
      </w:pPr>
      <w:r w:rsidRPr="00EF6F04">
        <w:fldChar w:fldCharType="begin"/>
      </w:r>
      <w:r w:rsidRPr="00EF6F04">
        <w:rPr>
          <w:lang w:val="fr-FR"/>
        </w:rPr>
        <w:instrText xml:space="preserve"> SEQ level0 \*arabic </w:instrText>
      </w:r>
      <w:r w:rsidRPr="00EF6F04">
        <w:fldChar w:fldCharType="separate"/>
      </w:r>
      <w:r w:rsidR="00EF6F04" w:rsidRPr="00EF6F04">
        <w:rPr>
          <w:noProof/>
          <w:lang w:val="fr-FR"/>
        </w:rPr>
        <w:t>50</w:t>
      </w:r>
      <w:r w:rsidRPr="00EF6F04">
        <w:fldChar w:fldCharType="end"/>
      </w:r>
      <w:r w:rsidRPr="00EF6F04">
        <w:rPr>
          <w:lang w:val="fr-FR"/>
        </w:rPr>
        <w:t>. </w:t>
      </w:r>
      <w:r w:rsidR="00CE65C8" w:rsidRPr="00EF6F04">
        <w:rPr>
          <w:lang w:val="fr-FR"/>
        </w:rPr>
        <w:t> </w:t>
      </w:r>
      <w:r w:rsidR="00580EFC" w:rsidRPr="00EF6F04">
        <w:rPr>
          <w:lang w:val="fr-FR"/>
        </w:rPr>
        <w:t>Au niveau national, c</w:t>
      </w:r>
      <w:r w:rsidR="00EF6F04" w:rsidRPr="00EF6F04">
        <w:rPr>
          <w:lang w:val="fr-FR"/>
        </w:rPr>
        <w:t>’</w:t>
      </w:r>
      <w:r w:rsidR="00580EFC" w:rsidRPr="00EF6F04">
        <w:rPr>
          <w:lang w:val="fr-FR"/>
        </w:rPr>
        <w:t>est</w:t>
      </w:r>
      <w:r w:rsidR="0099005A" w:rsidRPr="00EF6F04">
        <w:rPr>
          <w:lang w:val="fr-FR"/>
        </w:rPr>
        <w:t xml:space="preserve"> la</w:t>
      </w:r>
      <w:r w:rsidR="00580EFC" w:rsidRPr="00EF6F04">
        <w:rPr>
          <w:lang w:val="fr-FR"/>
        </w:rPr>
        <w:t xml:space="preserve"> loi </w:t>
      </w:r>
      <w:r w:rsidR="00CD0F13" w:rsidRPr="00EF6F04">
        <w:rPr>
          <w:lang w:val="fr-FR"/>
        </w:rPr>
        <w:t>Pinto</w:t>
      </w:r>
      <w:r w:rsidR="00D41AD8" w:rsidRPr="00EF6F04">
        <w:rPr>
          <w:lang w:val="fr-FR"/>
        </w:rPr>
        <w:t>,</w:t>
      </w:r>
      <w:r w:rsidR="00CD0F13" w:rsidRPr="00EF6F04">
        <w:rPr>
          <w:lang w:val="fr-FR"/>
        </w:rPr>
        <w:t xml:space="preserve"> </w:t>
      </w:r>
      <w:r w:rsidR="00580EFC" w:rsidRPr="00EF6F04">
        <w:rPr>
          <w:lang w:val="fr-FR"/>
        </w:rPr>
        <w:t>n</w:t>
      </w:r>
      <w:r w:rsidR="006317C1" w:rsidRPr="00EF6F04">
        <w:rPr>
          <w:lang w:val="fr-FR"/>
        </w:rPr>
        <w:t>o</w:t>
      </w:r>
      <w:r w:rsidR="00580EFC" w:rsidRPr="00EF6F04">
        <w:rPr>
          <w:lang w:val="fr-FR"/>
        </w:rPr>
        <w:t xml:space="preserve"> 89 du 24 mars 2001</w:t>
      </w:r>
      <w:r w:rsidR="00D41AD8" w:rsidRPr="00EF6F04">
        <w:rPr>
          <w:lang w:val="fr-FR"/>
        </w:rPr>
        <w:t>,</w:t>
      </w:r>
      <w:r w:rsidR="00580EFC" w:rsidRPr="00EF6F04">
        <w:rPr>
          <w:lang w:val="fr-FR"/>
        </w:rPr>
        <w:t xml:space="preserve"> qui a introduit dans le système juridique italien une voie de recours </w:t>
      </w:r>
      <w:r w:rsidR="00B95D1F" w:rsidRPr="00EF6F04">
        <w:rPr>
          <w:lang w:val="fr-FR"/>
        </w:rPr>
        <w:t xml:space="preserve">indemnitaire </w:t>
      </w:r>
      <w:r w:rsidR="00580EFC" w:rsidRPr="00EF6F04">
        <w:rPr>
          <w:lang w:val="fr-FR"/>
        </w:rPr>
        <w:t>contre la longueur excessive des procédures judiciaires.</w:t>
      </w:r>
    </w:p>
    <w:p w:rsidR="00B2305D" w:rsidRPr="00EF6F04" w:rsidRDefault="00580EFC" w:rsidP="00EF6F04">
      <w:pPr>
        <w:pStyle w:val="ECHRPara"/>
        <w:rPr>
          <w:lang w:val="fr-FR"/>
        </w:rPr>
      </w:pPr>
      <w:r w:rsidRPr="00EF6F04">
        <w:fldChar w:fldCharType="begin"/>
      </w:r>
      <w:r w:rsidRPr="00EF6F04">
        <w:rPr>
          <w:lang w:val="fr-FR"/>
        </w:rPr>
        <w:instrText xml:space="preserve"> SEQ level0 \*arabic </w:instrText>
      </w:r>
      <w:r w:rsidRPr="00EF6F04">
        <w:fldChar w:fldCharType="separate"/>
      </w:r>
      <w:r w:rsidR="00EF6F04" w:rsidRPr="00EF6F04">
        <w:rPr>
          <w:noProof/>
          <w:lang w:val="fr-FR"/>
        </w:rPr>
        <w:t>51</w:t>
      </w:r>
      <w:r w:rsidRPr="00EF6F04">
        <w:fldChar w:fldCharType="end"/>
      </w:r>
      <w:r w:rsidRPr="00EF6F04">
        <w:rPr>
          <w:lang w:val="fr-FR"/>
        </w:rPr>
        <w:t>.  Pour ce qui est des procédures juridictionnelles administratives, l</w:t>
      </w:r>
      <w:r w:rsidR="00EF6F04" w:rsidRPr="00EF6F04">
        <w:rPr>
          <w:lang w:val="fr-FR"/>
        </w:rPr>
        <w:t>’</w:t>
      </w:r>
      <w:r w:rsidR="00B2305D" w:rsidRPr="00EF6F04">
        <w:rPr>
          <w:lang w:val="fr-FR"/>
        </w:rPr>
        <w:t>article 54, deuxième alinéa du décret-loi no 112/2008</w:t>
      </w:r>
      <w:r w:rsidR="0003723A" w:rsidRPr="00EF6F04">
        <w:rPr>
          <w:lang w:val="fr-FR"/>
        </w:rPr>
        <w:t xml:space="preserve"> (</w:t>
      </w:r>
      <w:r w:rsidR="006870C7" w:rsidRPr="00EF6F04">
        <w:rPr>
          <w:lang w:val="fr-FR"/>
        </w:rPr>
        <w:t xml:space="preserve">converti en </w:t>
      </w:r>
      <w:r w:rsidR="00D41AD8" w:rsidRPr="00EF6F04">
        <w:rPr>
          <w:lang w:val="fr-FR"/>
        </w:rPr>
        <w:t xml:space="preserve">la </w:t>
      </w:r>
      <w:r w:rsidR="006870C7" w:rsidRPr="00EF6F04">
        <w:rPr>
          <w:lang w:val="fr-FR"/>
        </w:rPr>
        <w:t>loi</w:t>
      </w:r>
      <w:r w:rsidR="0003723A" w:rsidRPr="00EF6F04">
        <w:rPr>
          <w:lang w:val="fr-FR"/>
        </w:rPr>
        <w:t xml:space="preserve"> n</w:t>
      </w:r>
      <w:r w:rsidR="00AF5649" w:rsidRPr="00EF6F04">
        <w:rPr>
          <w:vertAlign w:val="superscript"/>
          <w:lang w:val="fr-FR"/>
        </w:rPr>
        <w:t>o</w:t>
      </w:r>
      <w:r w:rsidR="005E26E6" w:rsidRPr="00EF6F04">
        <w:rPr>
          <w:lang w:val="fr-FR"/>
        </w:rPr>
        <w:t> </w:t>
      </w:r>
      <w:r w:rsidR="0003723A" w:rsidRPr="00EF6F04">
        <w:rPr>
          <w:lang w:val="fr-FR"/>
        </w:rPr>
        <w:t>133 de 2008)</w:t>
      </w:r>
      <w:r w:rsidR="00B2305D" w:rsidRPr="00EF6F04">
        <w:rPr>
          <w:lang w:val="fr-FR"/>
        </w:rPr>
        <w:t xml:space="preserve"> </w:t>
      </w:r>
      <w:r w:rsidR="002A21FC" w:rsidRPr="00EF6F04">
        <w:rPr>
          <w:lang w:val="fr-FR"/>
        </w:rPr>
        <w:t xml:space="preserve">a introduit une </w:t>
      </w:r>
      <w:r w:rsidR="00BB20D8" w:rsidRPr="00EF6F04">
        <w:rPr>
          <w:lang w:val="fr-FR"/>
        </w:rPr>
        <w:t>condition de recevabilité du</w:t>
      </w:r>
      <w:r w:rsidR="00B2305D" w:rsidRPr="00EF6F04">
        <w:rPr>
          <w:lang w:val="fr-FR"/>
        </w:rPr>
        <w:t xml:space="preserve"> recours « Pinto »</w:t>
      </w:r>
      <w:r w:rsidRPr="00EF6F04">
        <w:rPr>
          <w:lang w:val="fr-FR"/>
        </w:rPr>
        <w:t xml:space="preserve">. </w:t>
      </w:r>
      <w:r w:rsidR="00CD0F13" w:rsidRPr="00EF6F04">
        <w:rPr>
          <w:lang w:val="fr-FR"/>
        </w:rPr>
        <w:t>Les « juridictions Pinto »</w:t>
      </w:r>
      <w:r w:rsidR="00B2305D" w:rsidRPr="00EF6F04">
        <w:rPr>
          <w:lang w:val="fr-FR"/>
        </w:rPr>
        <w:t xml:space="preserve"> ne peu</w:t>
      </w:r>
      <w:r w:rsidR="00CD0F13" w:rsidRPr="00EF6F04">
        <w:rPr>
          <w:lang w:val="fr-FR"/>
        </w:rPr>
        <w:t>ven</w:t>
      </w:r>
      <w:r w:rsidR="00B2305D" w:rsidRPr="00EF6F04">
        <w:rPr>
          <w:lang w:val="fr-FR"/>
        </w:rPr>
        <w:t xml:space="preserve">t être </w:t>
      </w:r>
      <w:r w:rsidR="00CD0F13" w:rsidRPr="00EF6F04">
        <w:rPr>
          <w:lang w:val="fr-FR"/>
        </w:rPr>
        <w:t>saisies</w:t>
      </w:r>
      <w:r w:rsidR="00B2305D" w:rsidRPr="00EF6F04">
        <w:rPr>
          <w:lang w:val="fr-FR"/>
        </w:rPr>
        <w:t xml:space="preserve"> que si la partie requérante a déposé</w:t>
      </w:r>
      <w:r w:rsidRPr="00EF6F04">
        <w:rPr>
          <w:lang w:val="fr-FR"/>
        </w:rPr>
        <w:t>, au cours de la procédure principale,</w:t>
      </w:r>
      <w:r w:rsidR="00B2305D" w:rsidRPr="00EF6F04">
        <w:rPr>
          <w:lang w:val="fr-FR"/>
        </w:rPr>
        <w:t xml:space="preserve"> une demande de fixation en urgence de l</w:t>
      </w:r>
      <w:r w:rsidRPr="00EF6F04">
        <w:rPr>
          <w:lang w:val="fr-FR"/>
        </w:rPr>
        <w:t>a date de l</w:t>
      </w:r>
      <w:r w:rsidR="00EF6F04" w:rsidRPr="00EF6F04">
        <w:rPr>
          <w:lang w:val="fr-FR"/>
        </w:rPr>
        <w:t>’</w:t>
      </w:r>
      <w:r w:rsidR="00B2305D" w:rsidRPr="00EF6F04">
        <w:rPr>
          <w:lang w:val="fr-FR"/>
        </w:rPr>
        <w:t>audience (</w:t>
      </w:r>
      <w:r w:rsidR="00B2305D" w:rsidRPr="00EF6F04">
        <w:rPr>
          <w:i/>
          <w:iCs/>
          <w:lang w:val="fr-FR"/>
        </w:rPr>
        <w:t>istanza di prelievo</w:t>
      </w:r>
      <w:r w:rsidR="00B2305D" w:rsidRPr="00EF6F04">
        <w:rPr>
          <w:lang w:val="fr-FR"/>
        </w:rPr>
        <w:t xml:space="preserve">). </w:t>
      </w:r>
      <w:r w:rsidR="002A21FC" w:rsidRPr="00EF6F04">
        <w:rPr>
          <w:lang w:val="fr-FR"/>
        </w:rPr>
        <w:t>À l</w:t>
      </w:r>
      <w:r w:rsidR="00EF6F04" w:rsidRPr="00EF6F04">
        <w:rPr>
          <w:lang w:val="fr-FR"/>
        </w:rPr>
        <w:t>’</w:t>
      </w:r>
      <w:r w:rsidR="002A21FC" w:rsidRPr="00EF6F04">
        <w:rPr>
          <w:lang w:val="fr-FR"/>
        </w:rPr>
        <w:t>époque des faits</w:t>
      </w:r>
      <w:r w:rsidRPr="00EF6F04">
        <w:rPr>
          <w:lang w:val="fr-FR"/>
        </w:rPr>
        <w:t xml:space="preserve"> litigieux</w:t>
      </w:r>
      <w:r w:rsidR="002A21FC" w:rsidRPr="00EF6F04">
        <w:rPr>
          <w:lang w:val="fr-FR"/>
        </w:rPr>
        <w:t xml:space="preserve">, </w:t>
      </w:r>
      <w:r w:rsidR="00820E5B" w:rsidRPr="00EF6F04">
        <w:rPr>
          <w:lang w:val="fr-FR"/>
        </w:rPr>
        <w:t>cette demande se fondait sur</w:t>
      </w:r>
      <w:r w:rsidR="00985D53" w:rsidRPr="00EF6F04">
        <w:rPr>
          <w:lang w:val="fr-FR"/>
        </w:rPr>
        <w:t xml:space="preserve"> l</w:t>
      </w:r>
      <w:r w:rsidR="00EF6F04" w:rsidRPr="00EF6F04">
        <w:rPr>
          <w:lang w:val="fr-FR"/>
        </w:rPr>
        <w:t>’</w:t>
      </w:r>
      <w:r w:rsidR="00985D53" w:rsidRPr="00EF6F04">
        <w:rPr>
          <w:lang w:val="fr-FR"/>
        </w:rPr>
        <w:t>article 51 du décret royal n</w:t>
      </w:r>
      <w:r w:rsidR="00985D53" w:rsidRPr="00EF6F04">
        <w:rPr>
          <w:vertAlign w:val="superscript"/>
          <w:lang w:val="fr-FR"/>
        </w:rPr>
        <w:t>o</w:t>
      </w:r>
      <w:r w:rsidR="00985D53" w:rsidRPr="00EF6F04">
        <w:rPr>
          <w:lang w:val="fr-FR"/>
        </w:rPr>
        <w:t> 642 du 17 août 1907</w:t>
      </w:r>
      <w:r w:rsidR="002A21FC" w:rsidRPr="00EF6F04">
        <w:rPr>
          <w:lang w:val="fr-FR"/>
        </w:rPr>
        <w:t>.</w:t>
      </w:r>
    </w:p>
    <w:p w:rsidR="00326AFB" w:rsidRPr="00EF6F04" w:rsidRDefault="00B2305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52</w:t>
      </w:r>
      <w:r w:rsidRPr="00EF6F04">
        <w:rPr>
          <w:lang w:val="fr-FR"/>
        </w:rPr>
        <w:fldChar w:fldCharType="end"/>
      </w:r>
      <w:r w:rsidRPr="00EF6F04">
        <w:rPr>
          <w:lang w:val="fr-FR"/>
        </w:rPr>
        <w:t>. </w:t>
      </w:r>
      <w:r w:rsidR="00CE65C8" w:rsidRPr="00EF6F04">
        <w:rPr>
          <w:lang w:val="fr-FR"/>
        </w:rPr>
        <w:t> </w:t>
      </w:r>
      <w:r w:rsidR="00403144" w:rsidRPr="00EF6F04">
        <w:rPr>
          <w:lang w:val="fr-FR"/>
        </w:rPr>
        <w:t xml:space="preserve">Selon la Cour, </w:t>
      </w:r>
      <w:r w:rsidR="006870C7" w:rsidRPr="00EF6F04">
        <w:rPr>
          <w:lang w:val="fr-FR"/>
        </w:rPr>
        <w:t>à partir d</w:t>
      </w:r>
      <w:r w:rsidR="00820E5B" w:rsidRPr="00EF6F04">
        <w:rPr>
          <w:lang w:val="fr-FR"/>
        </w:rPr>
        <w:t>e la date d</w:t>
      </w:r>
      <w:r w:rsidR="00EF6F04" w:rsidRPr="00EF6F04">
        <w:rPr>
          <w:lang w:val="fr-FR"/>
        </w:rPr>
        <w:t>’</w:t>
      </w:r>
      <w:r w:rsidR="00820E5B" w:rsidRPr="00EF6F04">
        <w:rPr>
          <w:lang w:val="fr-FR"/>
        </w:rPr>
        <w:t>entrée en vigueur du décret</w:t>
      </w:r>
      <w:r w:rsidR="005E26E6" w:rsidRPr="00EF6F04">
        <w:rPr>
          <w:lang w:val="fr-FR"/>
        </w:rPr>
        <w:t>-</w:t>
      </w:r>
      <w:r w:rsidR="00820E5B" w:rsidRPr="00EF6F04">
        <w:rPr>
          <w:lang w:val="fr-FR"/>
        </w:rPr>
        <w:t>loi n</w:t>
      </w:r>
      <w:r w:rsidR="006317C1" w:rsidRPr="00EF6F04">
        <w:rPr>
          <w:vertAlign w:val="superscript"/>
          <w:lang w:val="fr-FR"/>
        </w:rPr>
        <w:t>o</w:t>
      </w:r>
      <w:r w:rsidR="005E26E6" w:rsidRPr="00EF6F04">
        <w:rPr>
          <w:lang w:val="fr-FR"/>
        </w:rPr>
        <w:t> </w:t>
      </w:r>
      <w:r w:rsidR="00820E5B" w:rsidRPr="00EF6F04">
        <w:rPr>
          <w:lang w:val="fr-FR"/>
        </w:rPr>
        <w:t>112 de 2008</w:t>
      </w:r>
      <w:r w:rsidR="006870C7" w:rsidRPr="00EF6F04">
        <w:rPr>
          <w:lang w:val="fr-FR"/>
        </w:rPr>
        <w:t>, à savoir le 2</w:t>
      </w:r>
      <w:r w:rsidR="00820E5B" w:rsidRPr="00EF6F04">
        <w:rPr>
          <w:lang w:val="fr-FR"/>
        </w:rPr>
        <w:t>5 juin</w:t>
      </w:r>
      <w:r w:rsidR="006870C7" w:rsidRPr="00EF6F04">
        <w:rPr>
          <w:lang w:val="fr-FR"/>
        </w:rPr>
        <w:t xml:space="preserve"> 2008,</w:t>
      </w:r>
      <w:r w:rsidR="00F578DA" w:rsidRPr="00EF6F04">
        <w:rPr>
          <w:lang w:val="fr-FR"/>
        </w:rPr>
        <w:t xml:space="preserve"> </w:t>
      </w:r>
      <w:r w:rsidR="006870C7" w:rsidRPr="00EF6F04">
        <w:rPr>
          <w:lang w:val="fr-FR"/>
        </w:rPr>
        <w:t>l</w:t>
      </w:r>
      <w:r w:rsidR="00237257" w:rsidRPr="00EF6F04">
        <w:rPr>
          <w:lang w:val="fr-FR"/>
        </w:rPr>
        <w:t xml:space="preserve">e </w:t>
      </w:r>
      <w:r w:rsidR="00820E5B" w:rsidRPr="00EF6F04">
        <w:rPr>
          <w:lang w:val="fr-FR"/>
        </w:rPr>
        <w:t>législateur a</w:t>
      </w:r>
      <w:r w:rsidR="0099005A" w:rsidRPr="00EF6F04">
        <w:rPr>
          <w:lang w:val="fr-FR"/>
        </w:rPr>
        <w:t xml:space="preserve"> mis en place</w:t>
      </w:r>
      <w:r w:rsidR="00820E5B" w:rsidRPr="00EF6F04">
        <w:rPr>
          <w:lang w:val="fr-FR"/>
        </w:rPr>
        <w:t xml:space="preserve"> </w:t>
      </w:r>
      <w:r w:rsidR="00237257" w:rsidRPr="00EF6F04">
        <w:rPr>
          <w:lang w:val="fr-FR"/>
        </w:rPr>
        <w:t>une nouvelle</w:t>
      </w:r>
      <w:r w:rsidR="006870C7" w:rsidRPr="00EF6F04">
        <w:rPr>
          <w:lang w:val="fr-FR"/>
        </w:rPr>
        <w:t xml:space="preserve"> procédure p</w:t>
      </w:r>
      <w:r w:rsidR="00237257" w:rsidRPr="00EF6F04">
        <w:rPr>
          <w:lang w:val="fr-FR"/>
        </w:rPr>
        <w:t>our</w:t>
      </w:r>
      <w:r w:rsidR="006870C7" w:rsidRPr="00EF6F04">
        <w:rPr>
          <w:lang w:val="fr-FR"/>
        </w:rPr>
        <w:t xml:space="preserve"> se plaindre d</w:t>
      </w:r>
      <w:r w:rsidR="00B30CD7" w:rsidRPr="00EF6F04">
        <w:rPr>
          <w:lang w:val="fr-FR"/>
        </w:rPr>
        <w:t>e la longueur excessive</w:t>
      </w:r>
      <w:r w:rsidR="006870C7" w:rsidRPr="00EF6F04">
        <w:rPr>
          <w:lang w:val="fr-FR"/>
        </w:rPr>
        <w:t xml:space="preserve"> de la</w:t>
      </w:r>
      <w:r w:rsidR="00F578DA" w:rsidRPr="00EF6F04">
        <w:rPr>
          <w:lang w:val="fr-FR"/>
        </w:rPr>
        <w:t xml:space="preserve"> procédure ju</w:t>
      </w:r>
      <w:r w:rsidR="00EE563C" w:rsidRPr="00EF6F04">
        <w:rPr>
          <w:lang w:val="fr-FR"/>
        </w:rPr>
        <w:t>ridictionnelle</w:t>
      </w:r>
      <w:r w:rsidR="00F578DA" w:rsidRPr="00EF6F04">
        <w:rPr>
          <w:lang w:val="fr-FR"/>
        </w:rPr>
        <w:t xml:space="preserve"> administrative</w:t>
      </w:r>
      <w:r w:rsidR="00326AFB" w:rsidRPr="00EF6F04">
        <w:rPr>
          <w:lang w:val="fr-FR"/>
        </w:rPr>
        <w:t>. Celle-ci se compose de deux phases : la première phase, qui prévoit l</w:t>
      </w:r>
      <w:r w:rsidR="00EF6F04" w:rsidRPr="00EF6F04">
        <w:rPr>
          <w:lang w:val="fr-FR"/>
        </w:rPr>
        <w:t>’</w:t>
      </w:r>
      <w:r w:rsidR="00326AFB" w:rsidRPr="00EF6F04">
        <w:rPr>
          <w:lang w:val="fr-FR"/>
        </w:rPr>
        <w:t xml:space="preserve">introduction de la demande dite </w:t>
      </w:r>
      <w:r w:rsidR="00326AFB" w:rsidRPr="00EF6F04">
        <w:rPr>
          <w:i/>
          <w:lang w:val="fr-FR"/>
        </w:rPr>
        <w:t>istanza di prelievo</w:t>
      </w:r>
      <w:r w:rsidR="00326AFB" w:rsidRPr="00EF6F04">
        <w:rPr>
          <w:lang w:val="fr-FR"/>
        </w:rPr>
        <w:t xml:space="preserve"> au cours de la procédure devant le juge administratif</w:t>
      </w:r>
      <w:r w:rsidR="00326AFB" w:rsidRPr="00EF6F04">
        <w:rPr>
          <w:i/>
          <w:lang w:val="fr-FR"/>
        </w:rPr>
        <w:t> </w:t>
      </w:r>
      <w:r w:rsidR="00326AFB" w:rsidRPr="00EF6F04">
        <w:rPr>
          <w:lang w:val="fr-FR"/>
        </w:rPr>
        <w:t>et qui est condition de recevabilité d</w:t>
      </w:r>
      <w:r w:rsidR="00EF6F04" w:rsidRPr="00EF6F04">
        <w:rPr>
          <w:lang w:val="fr-FR"/>
        </w:rPr>
        <w:t>’</w:t>
      </w:r>
      <w:r w:rsidR="00326AFB" w:rsidRPr="00EF6F04">
        <w:rPr>
          <w:lang w:val="fr-FR"/>
        </w:rPr>
        <w:t>un recours Pinto; la deuxième phase, disciplinée par la loi Pinto, qui permet à chaque individu de présenter une demande de satisfaction équitable auprès de la cour d</w:t>
      </w:r>
      <w:r w:rsidR="00EF6F04" w:rsidRPr="00EF6F04">
        <w:rPr>
          <w:lang w:val="fr-FR"/>
        </w:rPr>
        <w:t>’</w:t>
      </w:r>
      <w:r w:rsidR="00326AFB" w:rsidRPr="00EF6F04">
        <w:rPr>
          <w:lang w:val="fr-FR"/>
        </w:rPr>
        <w:t xml:space="preserve">appel compétente </w:t>
      </w:r>
      <w:r w:rsidR="00326AFB" w:rsidRPr="00EF6F04">
        <w:rPr>
          <w:i/>
          <w:lang w:val="fr-FR"/>
        </w:rPr>
        <w:t>ratione loci</w:t>
      </w:r>
      <w:r w:rsidR="00326AFB" w:rsidRPr="00EF6F04">
        <w:rPr>
          <w:lang w:val="fr-FR"/>
        </w:rPr>
        <w:t>.</w:t>
      </w:r>
    </w:p>
    <w:p w:rsidR="006317C1" w:rsidRPr="00EF6F04" w:rsidRDefault="00606C46"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53</w:t>
      </w:r>
      <w:r w:rsidRPr="00EF6F04">
        <w:rPr>
          <w:lang w:val="fr-FR"/>
        </w:rPr>
        <w:fldChar w:fldCharType="end"/>
      </w:r>
      <w:r w:rsidRPr="00EF6F04">
        <w:rPr>
          <w:lang w:val="fr-FR"/>
        </w:rPr>
        <w:t>. </w:t>
      </w:r>
      <w:r w:rsidR="00CE65C8" w:rsidRPr="00EF6F04">
        <w:rPr>
          <w:lang w:val="fr-FR"/>
        </w:rPr>
        <w:t> </w:t>
      </w:r>
      <w:r w:rsidR="00D32449" w:rsidRPr="00EF6F04">
        <w:rPr>
          <w:lang w:val="fr-FR"/>
        </w:rPr>
        <w:t>En ce qui concerne la demande de fixation en urgence de la date de l</w:t>
      </w:r>
      <w:r w:rsidR="00EF6F04" w:rsidRPr="00EF6F04">
        <w:rPr>
          <w:lang w:val="fr-FR"/>
        </w:rPr>
        <w:t>’</w:t>
      </w:r>
      <w:r w:rsidR="00D32449" w:rsidRPr="00EF6F04">
        <w:rPr>
          <w:lang w:val="fr-FR"/>
        </w:rPr>
        <w:t>audience,</w:t>
      </w:r>
      <w:r w:rsidR="0080160C" w:rsidRPr="00EF6F04">
        <w:rPr>
          <w:lang w:val="fr-FR"/>
        </w:rPr>
        <w:t xml:space="preserve"> la Cour</w:t>
      </w:r>
      <w:r w:rsidR="008B1E64" w:rsidRPr="00EF6F04">
        <w:rPr>
          <w:lang w:val="fr-FR"/>
        </w:rPr>
        <w:t xml:space="preserve"> rappelle qu</w:t>
      </w:r>
      <w:r w:rsidR="00EF6F04" w:rsidRPr="00EF6F04">
        <w:rPr>
          <w:lang w:val="fr-FR"/>
        </w:rPr>
        <w:t>’</w:t>
      </w:r>
      <w:r w:rsidR="008B1E64" w:rsidRPr="00EF6F04">
        <w:rPr>
          <w:lang w:val="fr-FR"/>
        </w:rPr>
        <w:t>elle</w:t>
      </w:r>
      <w:r w:rsidR="0080160C" w:rsidRPr="00EF6F04">
        <w:rPr>
          <w:lang w:val="fr-FR"/>
        </w:rPr>
        <w:t xml:space="preserve"> s</w:t>
      </w:r>
      <w:r w:rsidR="00EF6F04" w:rsidRPr="00EF6F04">
        <w:rPr>
          <w:lang w:val="fr-FR"/>
        </w:rPr>
        <w:t>’</w:t>
      </w:r>
      <w:r w:rsidR="0080160C" w:rsidRPr="00EF6F04">
        <w:rPr>
          <w:lang w:val="fr-FR"/>
        </w:rPr>
        <w:t>est trouvé</w:t>
      </w:r>
      <w:r w:rsidR="00187417" w:rsidRPr="00EF6F04">
        <w:rPr>
          <w:lang w:val="fr-FR"/>
        </w:rPr>
        <w:t>e</w:t>
      </w:r>
      <w:r w:rsidR="0080160C" w:rsidRPr="00EF6F04">
        <w:rPr>
          <w:lang w:val="fr-FR"/>
        </w:rPr>
        <w:t xml:space="preserve"> </w:t>
      </w:r>
      <w:r w:rsidR="00905F6B" w:rsidRPr="00EF6F04">
        <w:rPr>
          <w:lang w:val="fr-FR"/>
        </w:rPr>
        <w:t xml:space="preserve">à </w:t>
      </w:r>
      <w:r w:rsidR="0080160C" w:rsidRPr="00EF6F04">
        <w:rPr>
          <w:lang w:val="fr-FR"/>
        </w:rPr>
        <w:t xml:space="preserve">maintes </w:t>
      </w:r>
      <w:r w:rsidR="00905F6B" w:rsidRPr="00EF6F04">
        <w:rPr>
          <w:lang w:val="fr-FR"/>
        </w:rPr>
        <w:t>reprises</w:t>
      </w:r>
      <w:r w:rsidR="0080160C" w:rsidRPr="00EF6F04">
        <w:rPr>
          <w:lang w:val="fr-FR"/>
        </w:rPr>
        <w:t xml:space="preserve"> à </w:t>
      </w:r>
      <w:r w:rsidR="009802E0" w:rsidRPr="00EF6F04">
        <w:rPr>
          <w:lang w:val="fr-FR"/>
        </w:rPr>
        <w:t xml:space="preserve">juger de </w:t>
      </w:r>
      <w:r w:rsidR="0080160C" w:rsidRPr="00EF6F04">
        <w:rPr>
          <w:lang w:val="fr-FR"/>
        </w:rPr>
        <w:t>l</w:t>
      </w:r>
      <w:r w:rsidR="00EF6F04" w:rsidRPr="00EF6F04">
        <w:rPr>
          <w:lang w:val="fr-FR"/>
        </w:rPr>
        <w:t>’</w:t>
      </w:r>
      <w:r w:rsidR="00187417" w:rsidRPr="00EF6F04">
        <w:rPr>
          <w:lang w:val="fr-FR"/>
        </w:rPr>
        <w:t>effectivité d</w:t>
      </w:r>
      <w:r w:rsidR="00EF6F04" w:rsidRPr="00EF6F04">
        <w:rPr>
          <w:lang w:val="fr-FR"/>
        </w:rPr>
        <w:t>’</w:t>
      </w:r>
      <w:r w:rsidR="001C48B4" w:rsidRPr="00EF6F04">
        <w:rPr>
          <w:lang w:val="fr-FR"/>
        </w:rPr>
        <w:t>un remède</w:t>
      </w:r>
      <w:r w:rsidR="0080160C" w:rsidRPr="00EF6F04">
        <w:rPr>
          <w:lang w:val="fr-FR"/>
        </w:rPr>
        <w:t xml:space="preserve"> en accélération</w:t>
      </w:r>
      <w:r w:rsidR="00601698" w:rsidRPr="00EF6F04">
        <w:rPr>
          <w:lang w:val="fr-FR"/>
        </w:rPr>
        <w:t xml:space="preserve"> </w:t>
      </w:r>
      <w:r w:rsidR="002B3E7E" w:rsidRPr="00EF6F04">
        <w:rPr>
          <w:lang w:val="fr-FR"/>
        </w:rPr>
        <w:t>(voir, parmi beaucoup d</w:t>
      </w:r>
      <w:r w:rsidR="00EF6F04" w:rsidRPr="00EF6F04">
        <w:rPr>
          <w:lang w:val="fr-FR"/>
        </w:rPr>
        <w:t>’</w:t>
      </w:r>
      <w:r w:rsidR="002B3E7E" w:rsidRPr="00EF6F04">
        <w:rPr>
          <w:lang w:val="fr-FR"/>
        </w:rPr>
        <w:t>autres</w:t>
      </w:r>
      <w:r w:rsidR="005B3E42" w:rsidRPr="00EF6F04">
        <w:rPr>
          <w:lang w:val="fr-FR"/>
        </w:rPr>
        <w:t>,</w:t>
      </w:r>
      <w:r w:rsidR="005B3E42" w:rsidRPr="00EF6F04">
        <w:rPr>
          <w:i/>
          <w:lang w:val="fr-FR"/>
        </w:rPr>
        <w:t xml:space="preserve"> Xynos c. Grèce</w:t>
      </w:r>
      <w:r w:rsidR="005B3E42" w:rsidRPr="00EF6F04">
        <w:rPr>
          <w:snapToGrid w:val="0"/>
          <w:lang w:val="fr-FR"/>
        </w:rPr>
        <w:t xml:space="preserve">, </w:t>
      </w:r>
      <w:r w:rsidR="005B3E42" w:rsidRPr="00EF6F04">
        <w:rPr>
          <w:lang w:val="fr-FR"/>
        </w:rPr>
        <w:t>n</w:t>
      </w:r>
      <w:r w:rsidR="005B3E42" w:rsidRPr="00EF6F04">
        <w:rPr>
          <w:vertAlign w:val="superscript"/>
          <w:lang w:val="fr-FR"/>
        </w:rPr>
        <w:t>o</w:t>
      </w:r>
      <w:r w:rsidR="005B3E42" w:rsidRPr="00EF6F04">
        <w:rPr>
          <w:lang w:val="fr-FR"/>
        </w:rPr>
        <w:t xml:space="preserve"> 30226/09</w:t>
      </w:r>
      <w:r w:rsidR="005B3E42" w:rsidRPr="00EF6F04">
        <w:rPr>
          <w:snapToGrid w:val="0"/>
          <w:lang w:val="fr-FR"/>
        </w:rPr>
        <w:t>, 9 </w:t>
      </w:r>
      <w:r w:rsidR="005B3E42" w:rsidRPr="00EF6F04">
        <w:rPr>
          <w:lang w:val="fr-FR"/>
        </w:rPr>
        <w:t>octobre </w:t>
      </w:r>
      <w:r w:rsidR="005B3E42" w:rsidRPr="00EF6F04">
        <w:rPr>
          <w:snapToGrid w:val="0"/>
          <w:lang w:val="fr-FR"/>
        </w:rPr>
        <w:t>2014 ;</w:t>
      </w:r>
      <w:r w:rsidR="002B3E7E" w:rsidRPr="00EF6F04">
        <w:rPr>
          <w:lang w:val="fr-FR"/>
        </w:rPr>
        <w:t xml:space="preserve"> </w:t>
      </w:r>
      <w:r w:rsidR="00601698" w:rsidRPr="00EF6F04">
        <w:rPr>
          <w:i/>
          <w:szCs w:val="24"/>
          <w:lang w:val="fr-FR"/>
        </w:rPr>
        <w:t xml:space="preserve">Sürmeli </w:t>
      </w:r>
      <w:r w:rsidR="00004E92" w:rsidRPr="00EF6F04">
        <w:rPr>
          <w:szCs w:val="24"/>
          <w:lang w:val="fr-FR"/>
        </w:rPr>
        <w:t>précité</w:t>
      </w:r>
      <w:r w:rsidR="00601698" w:rsidRPr="00EF6F04">
        <w:rPr>
          <w:szCs w:val="24"/>
          <w:lang w:val="fr-FR"/>
        </w:rPr>
        <w:t> ;</w:t>
      </w:r>
      <w:r w:rsidR="002B3E7E" w:rsidRPr="00EF6F04">
        <w:rPr>
          <w:szCs w:val="24"/>
          <w:lang w:val="fr-FR"/>
        </w:rPr>
        <w:t xml:space="preserve"> </w:t>
      </w:r>
      <w:r w:rsidR="005B3E42" w:rsidRPr="00EF6F04">
        <w:rPr>
          <w:i/>
          <w:szCs w:val="24"/>
          <w:lang w:val="fr-FR"/>
        </w:rPr>
        <w:t>Lukenda c. </w:t>
      </w:r>
      <w:r w:rsidR="00E6681E" w:rsidRPr="00EF6F04">
        <w:rPr>
          <w:i/>
          <w:szCs w:val="24"/>
          <w:lang w:val="fr-FR"/>
        </w:rPr>
        <w:t>Slovénie</w:t>
      </w:r>
      <w:r w:rsidR="00601698" w:rsidRPr="00EF6F04">
        <w:rPr>
          <w:szCs w:val="24"/>
          <w:lang w:val="fr-FR"/>
        </w:rPr>
        <w:t>, n</w:t>
      </w:r>
      <w:r w:rsidR="00601698" w:rsidRPr="00EF6F04">
        <w:rPr>
          <w:szCs w:val="24"/>
          <w:vertAlign w:val="superscript"/>
          <w:lang w:val="fr-FR"/>
        </w:rPr>
        <w:t>o</w:t>
      </w:r>
      <w:r w:rsidR="00601698" w:rsidRPr="00EF6F04">
        <w:rPr>
          <w:szCs w:val="24"/>
          <w:lang w:val="fr-FR"/>
        </w:rPr>
        <w:t xml:space="preserve">. 23032/02, </w:t>
      </w:r>
      <w:r w:rsidR="00601698" w:rsidRPr="00EF6F04">
        <w:rPr>
          <w:lang w:val="fr-FR"/>
        </w:rPr>
        <w:t>ECHR 2005</w:t>
      </w:r>
      <w:r w:rsidR="00601698" w:rsidRPr="00EF6F04">
        <w:rPr>
          <w:lang w:val="fr-FR"/>
        </w:rPr>
        <w:noBreakHyphen/>
        <w:t>X</w:t>
      </w:r>
      <w:r w:rsidR="002B3E7E" w:rsidRPr="00EF6F04">
        <w:rPr>
          <w:lang w:val="fr-FR"/>
        </w:rPr>
        <w:t> ;</w:t>
      </w:r>
      <w:r w:rsidR="009F0B91" w:rsidRPr="00EF6F04">
        <w:rPr>
          <w:lang w:val="fr-FR"/>
        </w:rPr>
        <w:t xml:space="preserve"> </w:t>
      </w:r>
      <w:r w:rsidR="0056087C" w:rsidRPr="00EF6F04">
        <w:rPr>
          <w:i/>
          <w:lang w:val="fr-FR"/>
        </w:rPr>
        <w:t>Horvat c. Croatie</w:t>
      </w:r>
      <w:r w:rsidR="0056087C" w:rsidRPr="00EF6F04">
        <w:rPr>
          <w:lang w:val="fr-FR"/>
        </w:rPr>
        <w:t>, n</w:t>
      </w:r>
      <w:r w:rsidR="0056087C" w:rsidRPr="00EF6F04">
        <w:rPr>
          <w:vertAlign w:val="superscript"/>
          <w:lang w:val="fr-FR"/>
        </w:rPr>
        <w:t>o</w:t>
      </w:r>
      <w:r w:rsidR="00985D53" w:rsidRPr="00EF6F04">
        <w:rPr>
          <w:lang w:val="fr-FR"/>
        </w:rPr>
        <w:t xml:space="preserve"> 51585/99, </w:t>
      </w:r>
      <w:r w:rsidR="0056087C" w:rsidRPr="00EF6F04">
        <w:rPr>
          <w:lang w:val="fr-FR"/>
        </w:rPr>
        <w:t>CEDH 2001</w:t>
      </w:r>
      <w:r w:rsidR="0056087C" w:rsidRPr="00EF6F04">
        <w:rPr>
          <w:lang w:val="fr-FR"/>
        </w:rPr>
        <w:noBreakHyphen/>
      </w:r>
      <w:r w:rsidR="008D64A6" w:rsidRPr="00EF6F04">
        <w:rPr>
          <w:lang w:val="fr-FR"/>
        </w:rPr>
        <w:t>VIII)</w:t>
      </w:r>
      <w:r w:rsidR="0080160C" w:rsidRPr="00EF6F04">
        <w:rPr>
          <w:lang w:val="fr-FR"/>
        </w:rPr>
        <w:t>.</w:t>
      </w:r>
      <w:r w:rsidR="001C48B4" w:rsidRPr="00EF6F04">
        <w:rPr>
          <w:lang w:val="fr-FR"/>
        </w:rPr>
        <w:t xml:space="preserve"> </w:t>
      </w:r>
      <w:r w:rsidR="009F0B91" w:rsidRPr="00EF6F04">
        <w:rPr>
          <w:lang w:val="fr-FR"/>
        </w:rPr>
        <w:t xml:space="preserve">En particulier, </w:t>
      </w:r>
      <w:r w:rsidR="00546510" w:rsidRPr="00EF6F04">
        <w:rPr>
          <w:lang w:val="fr-FR"/>
        </w:rPr>
        <w:t>elle</w:t>
      </w:r>
      <w:r w:rsidR="009F0B91" w:rsidRPr="00EF6F04">
        <w:rPr>
          <w:lang w:val="fr-FR"/>
        </w:rPr>
        <w:t xml:space="preserve"> a reconnu à ce type de recours un </w:t>
      </w:r>
      <w:r w:rsidR="009F0B91" w:rsidRPr="00EF6F04">
        <w:rPr>
          <w:lang w:val="fr-FR"/>
        </w:rPr>
        <w:lastRenderedPageBreak/>
        <w:t xml:space="preserve">caractère « effectif » dans la mesure où </w:t>
      </w:r>
      <w:r w:rsidR="00AD606E" w:rsidRPr="00EF6F04">
        <w:rPr>
          <w:lang w:val="fr-FR"/>
        </w:rPr>
        <w:t>il permet</w:t>
      </w:r>
      <w:r w:rsidR="009F0B91" w:rsidRPr="00EF6F04">
        <w:rPr>
          <w:lang w:val="fr-FR"/>
        </w:rPr>
        <w:t xml:space="preserve"> d</w:t>
      </w:r>
      <w:r w:rsidR="00EF6F04" w:rsidRPr="00EF6F04">
        <w:rPr>
          <w:lang w:val="fr-FR"/>
        </w:rPr>
        <w:t>’</w:t>
      </w:r>
      <w:r w:rsidR="009F0B91" w:rsidRPr="00EF6F04">
        <w:rPr>
          <w:lang w:val="fr-FR"/>
        </w:rPr>
        <w:t>hâter la décision de la juridiction concernée.</w:t>
      </w:r>
    </w:p>
    <w:p w:rsidR="006317C1" w:rsidRPr="00EF6F04" w:rsidRDefault="00546510" w:rsidP="00EF6F04">
      <w:pPr>
        <w:pStyle w:val="ECHRPara"/>
        <w:rPr>
          <w:szCs w:val="24"/>
          <w:lang w:val="fr-FR"/>
        </w:rPr>
      </w:pPr>
      <w:r w:rsidRPr="00EF6F04">
        <w:rPr>
          <w:szCs w:val="24"/>
          <w:lang w:val="fr-FR"/>
        </w:rPr>
        <w:fldChar w:fldCharType="begin"/>
      </w:r>
      <w:r w:rsidRPr="00EF6F04">
        <w:rPr>
          <w:szCs w:val="24"/>
          <w:lang w:val="fr-FR"/>
        </w:rPr>
        <w:instrText xml:space="preserve"> SEQ level0 \*arabic </w:instrText>
      </w:r>
      <w:r w:rsidRPr="00EF6F04">
        <w:rPr>
          <w:szCs w:val="24"/>
          <w:lang w:val="fr-FR"/>
        </w:rPr>
        <w:fldChar w:fldCharType="separate"/>
      </w:r>
      <w:r w:rsidR="00EF6F04" w:rsidRPr="00EF6F04">
        <w:rPr>
          <w:noProof/>
          <w:szCs w:val="24"/>
          <w:lang w:val="fr-FR"/>
        </w:rPr>
        <w:t>54</w:t>
      </w:r>
      <w:r w:rsidRPr="00EF6F04">
        <w:rPr>
          <w:szCs w:val="24"/>
          <w:lang w:val="fr-FR"/>
        </w:rPr>
        <w:fldChar w:fldCharType="end"/>
      </w:r>
      <w:r w:rsidRPr="00EF6F04">
        <w:rPr>
          <w:szCs w:val="24"/>
          <w:lang w:val="fr-FR"/>
        </w:rPr>
        <w:t>.  </w:t>
      </w:r>
      <w:r w:rsidR="009802E0" w:rsidRPr="00EF6F04">
        <w:rPr>
          <w:szCs w:val="24"/>
          <w:lang w:val="fr-FR"/>
        </w:rPr>
        <w:t>En ce qui concerne les présentes affaires</w:t>
      </w:r>
      <w:r w:rsidR="00BF14DC" w:rsidRPr="00EF6F04">
        <w:rPr>
          <w:szCs w:val="24"/>
          <w:lang w:val="fr-FR"/>
        </w:rPr>
        <w:t>, l</w:t>
      </w:r>
      <w:r w:rsidR="009F0B91" w:rsidRPr="00EF6F04">
        <w:rPr>
          <w:szCs w:val="24"/>
          <w:lang w:val="fr-FR"/>
        </w:rPr>
        <w:t>e texte de loi</w:t>
      </w:r>
      <w:r w:rsidR="00AA4CFE" w:rsidRPr="00EF6F04">
        <w:rPr>
          <w:szCs w:val="24"/>
          <w:lang w:val="fr-FR"/>
        </w:rPr>
        <w:t xml:space="preserve"> disciplinant </w:t>
      </w:r>
      <w:r w:rsidR="00D32449" w:rsidRPr="00EF6F04">
        <w:rPr>
          <w:szCs w:val="24"/>
          <w:lang w:val="fr-FR"/>
        </w:rPr>
        <w:t>cette</w:t>
      </w:r>
      <w:r w:rsidR="00AA4CFE" w:rsidRPr="00EF6F04">
        <w:rPr>
          <w:szCs w:val="24"/>
          <w:lang w:val="fr-FR"/>
        </w:rPr>
        <w:t xml:space="preserve"> demande</w:t>
      </w:r>
      <w:r w:rsidR="00820E5B" w:rsidRPr="00EF6F04">
        <w:rPr>
          <w:szCs w:val="24"/>
          <w:lang w:val="fr-FR"/>
        </w:rPr>
        <w:t xml:space="preserve"> à l</w:t>
      </w:r>
      <w:r w:rsidR="00EF6F04" w:rsidRPr="00EF6F04">
        <w:rPr>
          <w:szCs w:val="24"/>
          <w:lang w:val="fr-FR"/>
        </w:rPr>
        <w:t>’</w:t>
      </w:r>
      <w:r w:rsidR="00820E5B" w:rsidRPr="00EF6F04">
        <w:rPr>
          <w:szCs w:val="24"/>
          <w:lang w:val="fr-FR"/>
        </w:rPr>
        <w:t>époque des faits,</w:t>
      </w:r>
      <w:r w:rsidR="00AA4CFE" w:rsidRPr="00EF6F04">
        <w:rPr>
          <w:szCs w:val="24"/>
          <w:lang w:val="fr-FR"/>
        </w:rPr>
        <w:t xml:space="preserve"> </w:t>
      </w:r>
      <w:r w:rsidR="00820E5B" w:rsidRPr="00EF6F04">
        <w:rPr>
          <w:szCs w:val="24"/>
          <w:lang w:val="fr-FR"/>
        </w:rPr>
        <w:t xml:space="preserve">à savoir </w:t>
      </w:r>
      <w:r w:rsidR="00A82818" w:rsidRPr="00EF6F04">
        <w:rPr>
          <w:szCs w:val="24"/>
          <w:lang w:val="fr-FR"/>
        </w:rPr>
        <w:t>l</w:t>
      </w:r>
      <w:r w:rsidR="00EF6F04" w:rsidRPr="00EF6F04">
        <w:rPr>
          <w:szCs w:val="24"/>
          <w:lang w:val="fr-FR"/>
        </w:rPr>
        <w:t>’</w:t>
      </w:r>
      <w:r w:rsidR="00A82818" w:rsidRPr="00EF6F04">
        <w:rPr>
          <w:szCs w:val="24"/>
          <w:lang w:val="fr-FR"/>
        </w:rPr>
        <w:t>article 51</w:t>
      </w:r>
      <w:r w:rsidR="00537304" w:rsidRPr="00EF6F04">
        <w:rPr>
          <w:szCs w:val="24"/>
          <w:lang w:val="fr-FR"/>
        </w:rPr>
        <w:t xml:space="preserve"> du décret-royal n</w:t>
      </w:r>
      <w:r w:rsidR="006317C1" w:rsidRPr="00EF6F04">
        <w:rPr>
          <w:szCs w:val="24"/>
          <w:vertAlign w:val="superscript"/>
          <w:lang w:val="fr-FR"/>
        </w:rPr>
        <w:t>o</w:t>
      </w:r>
      <w:r w:rsidR="005E26E6" w:rsidRPr="00EF6F04">
        <w:rPr>
          <w:szCs w:val="24"/>
          <w:lang w:val="fr-FR"/>
        </w:rPr>
        <w:t> </w:t>
      </w:r>
      <w:r w:rsidR="00537304" w:rsidRPr="00EF6F04">
        <w:rPr>
          <w:szCs w:val="24"/>
          <w:lang w:val="fr-FR"/>
        </w:rPr>
        <w:t>642 du 17 août 1907</w:t>
      </w:r>
      <w:r w:rsidR="00820E5B" w:rsidRPr="00EF6F04">
        <w:rPr>
          <w:szCs w:val="24"/>
          <w:lang w:val="fr-FR"/>
        </w:rPr>
        <w:t>,</w:t>
      </w:r>
      <w:r w:rsidR="00537304" w:rsidRPr="00EF6F04">
        <w:rPr>
          <w:szCs w:val="24"/>
          <w:lang w:val="fr-FR"/>
        </w:rPr>
        <w:t xml:space="preserve"> indiquait que « dans le décret de fixation de l</w:t>
      </w:r>
      <w:r w:rsidR="00EF6F04" w:rsidRPr="00EF6F04">
        <w:rPr>
          <w:szCs w:val="24"/>
          <w:lang w:val="fr-FR"/>
        </w:rPr>
        <w:t>’</w:t>
      </w:r>
      <w:r w:rsidR="00537304" w:rsidRPr="00EF6F04">
        <w:rPr>
          <w:szCs w:val="24"/>
          <w:lang w:val="fr-FR"/>
        </w:rPr>
        <w:t>audience</w:t>
      </w:r>
      <w:r w:rsidR="009802E0" w:rsidRPr="00EF6F04">
        <w:rPr>
          <w:szCs w:val="24"/>
          <w:lang w:val="fr-FR"/>
        </w:rPr>
        <w:t>,</w:t>
      </w:r>
      <w:r w:rsidR="00537304" w:rsidRPr="00EF6F04">
        <w:rPr>
          <w:szCs w:val="24"/>
          <w:lang w:val="fr-FR"/>
        </w:rPr>
        <w:t xml:space="preserve"> le président </w:t>
      </w:r>
      <w:r w:rsidR="002310B1" w:rsidRPr="00EF6F04">
        <w:rPr>
          <w:szCs w:val="24"/>
          <w:lang w:val="fr-FR"/>
        </w:rPr>
        <w:t xml:space="preserve">(du TAR) </w:t>
      </w:r>
      <w:r w:rsidR="00537304" w:rsidRPr="00EF6F04">
        <w:rPr>
          <w:szCs w:val="24"/>
          <w:lang w:val="fr-FR"/>
        </w:rPr>
        <w:t>peut, à la demande de la partie ou d</w:t>
      </w:r>
      <w:r w:rsidR="00EF6F04" w:rsidRPr="00EF6F04">
        <w:rPr>
          <w:szCs w:val="24"/>
          <w:lang w:val="fr-FR"/>
        </w:rPr>
        <w:t>’</w:t>
      </w:r>
      <w:r w:rsidR="00537304" w:rsidRPr="00EF6F04">
        <w:rPr>
          <w:szCs w:val="24"/>
          <w:lang w:val="fr-FR"/>
        </w:rPr>
        <w:t>office, déclarer l</w:t>
      </w:r>
      <w:r w:rsidR="00EF6F04" w:rsidRPr="00EF6F04">
        <w:rPr>
          <w:szCs w:val="24"/>
          <w:lang w:val="fr-FR"/>
        </w:rPr>
        <w:t>’</w:t>
      </w:r>
      <w:r w:rsidR="00537304" w:rsidRPr="00EF6F04">
        <w:rPr>
          <w:szCs w:val="24"/>
          <w:lang w:val="fr-FR"/>
        </w:rPr>
        <w:t>affaire urgent</w:t>
      </w:r>
      <w:r w:rsidR="00AD606E" w:rsidRPr="00EF6F04">
        <w:rPr>
          <w:szCs w:val="24"/>
          <w:lang w:val="fr-FR"/>
        </w:rPr>
        <w:t>e</w:t>
      </w:r>
      <w:r w:rsidR="00537304" w:rsidRPr="00EF6F04">
        <w:rPr>
          <w:szCs w:val="24"/>
          <w:lang w:val="fr-FR"/>
        </w:rPr>
        <w:t> ».</w:t>
      </w:r>
    </w:p>
    <w:p w:rsidR="00537304" w:rsidRPr="00EF6F04" w:rsidRDefault="00AA2C28" w:rsidP="00EF6F04">
      <w:pPr>
        <w:pStyle w:val="ECHRPara"/>
        <w:rPr>
          <w:szCs w:val="24"/>
          <w:lang w:val="fr-FR"/>
        </w:rPr>
      </w:pPr>
      <w:r w:rsidRPr="00EF6F04">
        <w:rPr>
          <w:szCs w:val="24"/>
          <w:lang w:val="fr-FR"/>
        </w:rPr>
        <w:fldChar w:fldCharType="begin"/>
      </w:r>
      <w:r w:rsidRPr="00EF6F04">
        <w:rPr>
          <w:szCs w:val="24"/>
          <w:lang w:val="fr-FR"/>
        </w:rPr>
        <w:instrText xml:space="preserve"> SEQ level0 \*arabic </w:instrText>
      </w:r>
      <w:r w:rsidRPr="00EF6F04">
        <w:rPr>
          <w:szCs w:val="24"/>
          <w:lang w:val="fr-FR"/>
        </w:rPr>
        <w:fldChar w:fldCharType="separate"/>
      </w:r>
      <w:r w:rsidR="00EF6F04" w:rsidRPr="00EF6F04">
        <w:rPr>
          <w:noProof/>
          <w:szCs w:val="24"/>
          <w:lang w:val="fr-FR"/>
        </w:rPr>
        <w:t>55</w:t>
      </w:r>
      <w:r w:rsidRPr="00EF6F04">
        <w:rPr>
          <w:szCs w:val="24"/>
          <w:lang w:val="fr-FR"/>
        </w:rPr>
        <w:fldChar w:fldCharType="end"/>
      </w:r>
      <w:r w:rsidRPr="00EF6F04">
        <w:rPr>
          <w:szCs w:val="24"/>
          <w:lang w:val="fr-FR"/>
        </w:rPr>
        <w:t>.  </w:t>
      </w:r>
      <w:r w:rsidR="009802E0" w:rsidRPr="00EF6F04">
        <w:rPr>
          <w:szCs w:val="24"/>
          <w:lang w:val="fr-FR"/>
        </w:rPr>
        <w:t>À la suite de l</w:t>
      </w:r>
      <w:r w:rsidR="00EF6F04" w:rsidRPr="00EF6F04">
        <w:rPr>
          <w:szCs w:val="24"/>
          <w:lang w:val="fr-FR"/>
        </w:rPr>
        <w:t>’</w:t>
      </w:r>
      <w:r w:rsidR="009802E0" w:rsidRPr="00EF6F04">
        <w:rPr>
          <w:szCs w:val="24"/>
          <w:lang w:val="fr-FR"/>
        </w:rPr>
        <w:t>entrée en vigueur</w:t>
      </w:r>
      <w:r w:rsidR="001E1CE3" w:rsidRPr="00EF6F04">
        <w:rPr>
          <w:szCs w:val="24"/>
          <w:lang w:val="fr-FR"/>
        </w:rPr>
        <w:t xml:space="preserve"> du code d</w:t>
      </w:r>
      <w:r w:rsidR="00AD606E" w:rsidRPr="00EF6F04">
        <w:rPr>
          <w:szCs w:val="24"/>
          <w:lang w:val="fr-FR"/>
        </w:rPr>
        <w:t>e procédure administrative</w:t>
      </w:r>
      <w:r w:rsidR="001E1CE3" w:rsidRPr="00EF6F04">
        <w:rPr>
          <w:szCs w:val="24"/>
          <w:lang w:val="fr-FR"/>
        </w:rPr>
        <w:t xml:space="preserve"> (décret-loi n</w:t>
      </w:r>
      <w:r w:rsidR="006317C1" w:rsidRPr="00EF6F04">
        <w:rPr>
          <w:szCs w:val="24"/>
          <w:vertAlign w:val="superscript"/>
          <w:lang w:val="fr-FR"/>
        </w:rPr>
        <w:t>o</w:t>
      </w:r>
      <w:r w:rsidR="00BE0811" w:rsidRPr="00EF6F04">
        <w:rPr>
          <w:szCs w:val="24"/>
          <w:lang w:val="fr-FR"/>
        </w:rPr>
        <w:t> </w:t>
      </w:r>
      <w:r w:rsidR="001E1CE3" w:rsidRPr="00EF6F04">
        <w:rPr>
          <w:szCs w:val="24"/>
          <w:lang w:val="fr-FR"/>
        </w:rPr>
        <w:t>104</w:t>
      </w:r>
      <w:r w:rsidR="009802E0" w:rsidRPr="00EF6F04">
        <w:rPr>
          <w:szCs w:val="24"/>
          <w:lang w:val="fr-FR"/>
        </w:rPr>
        <w:t xml:space="preserve"> de </w:t>
      </w:r>
      <w:r w:rsidR="001E1CE3" w:rsidRPr="00EF6F04">
        <w:rPr>
          <w:szCs w:val="24"/>
          <w:lang w:val="fr-FR"/>
        </w:rPr>
        <w:t xml:space="preserve">2010), la </w:t>
      </w:r>
      <w:r w:rsidR="00D32449" w:rsidRPr="00EF6F04">
        <w:rPr>
          <w:szCs w:val="24"/>
          <w:lang w:val="fr-FR"/>
        </w:rPr>
        <w:t xml:space="preserve">nouvelle discipline prévoit, </w:t>
      </w:r>
      <w:r w:rsidR="00BE0811" w:rsidRPr="00EF6F04">
        <w:rPr>
          <w:szCs w:val="24"/>
          <w:lang w:val="fr-FR"/>
        </w:rPr>
        <w:t>dans son article </w:t>
      </w:r>
      <w:r w:rsidR="00D32449" w:rsidRPr="00EF6F04">
        <w:rPr>
          <w:szCs w:val="24"/>
          <w:lang w:val="fr-FR"/>
        </w:rPr>
        <w:t xml:space="preserve">71, que </w:t>
      </w:r>
      <w:r w:rsidR="000F6802" w:rsidRPr="00EF6F04">
        <w:rPr>
          <w:szCs w:val="24"/>
          <w:lang w:val="fr-FR"/>
        </w:rPr>
        <w:t>« la partie peut signaler l</w:t>
      </w:r>
      <w:r w:rsidR="00EF6F04" w:rsidRPr="00EF6F04">
        <w:rPr>
          <w:szCs w:val="24"/>
          <w:lang w:val="fr-FR"/>
        </w:rPr>
        <w:t>’</w:t>
      </w:r>
      <w:r w:rsidR="000F6802" w:rsidRPr="00EF6F04">
        <w:rPr>
          <w:szCs w:val="24"/>
          <w:lang w:val="fr-FR"/>
        </w:rPr>
        <w:t xml:space="preserve">urgence du recours en déposant une demande </w:t>
      </w:r>
      <w:r w:rsidR="009802E0" w:rsidRPr="00EF6F04">
        <w:rPr>
          <w:szCs w:val="24"/>
          <w:lang w:val="fr-FR"/>
        </w:rPr>
        <w:t>(</w:t>
      </w:r>
      <w:r w:rsidR="009802E0" w:rsidRPr="00EF6F04">
        <w:rPr>
          <w:i/>
          <w:szCs w:val="24"/>
          <w:lang w:val="fr-FR"/>
        </w:rPr>
        <w:t>istanza di prelievo</w:t>
      </w:r>
      <w:r w:rsidR="009802E0" w:rsidRPr="00EF6F04">
        <w:rPr>
          <w:szCs w:val="24"/>
          <w:lang w:val="fr-FR"/>
        </w:rPr>
        <w:t>)</w:t>
      </w:r>
      <w:r w:rsidR="000F6802" w:rsidRPr="00EF6F04">
        <w:rPr>
          <w:szCs w:val="24"/>
          <w:lang w:val="fr-FR"/>
        </w:rPr>
        <w:t xml:space="preserve">. </w:t>
      </w:r>
      <w:r w:rsidR="00D32449" w:rsidRPr="00EF6F04">
        <w:rPr>
          <w:szCs w:val="24"/>
          <w:lang w:val="fr-FR"/>
        </w:rPr>
        <w:t>L</w:t>
      </w:r>
      <w:r w:rsidR="00EF6F04" w:rsidRPr="00EF6F04">
        <w:rPr>
          <w:szCs w:val="24"/>
          <w:lang w:val="fr-FR"/>
        </w:rPr>
        <w:t>’</w:t>
      </w:r>
      <w:r w:rsidR="000F6802" w:rsidRPr="00EF6F04">
        <w:rPr>
          <w:szCs w:val="24"/>
          <w:lang w:val="fr-FR"/>
        </w:rPr>
        <w:t>article 8, alinéa</w:t>
      </w:r>
      <w:r w:rsidR="009802E0" w:rsidRPr="00EF6F04">
        <w:rPr>
          <w:szCs w:val="24"/>
          <w:lang w:val="fr-FR"/>
        </w:rPr>
        <w:t xml:space="preserve"> 2</w:t>
      </w:r>
      <w:r w:rsidR="000F6802" w:rsidRPr="00EF6F04">
        <w:rPr>
          <w:szCs w:val="24"/>
          <w:lang w:val="fr-FR"/>
        </w:rPr>
        <w:t>, de l</w:t>
      </w:r>
      <w:r w:rsidR="00EF6F04" w:rsidRPr="00EF6F04">
        <w:rPr>
          <w:szCs w:val="24"/>
          <w:lang w:val="fr-FR"/>
        </w:rPr>
        <w:t>’</w:t>
      </w:r>
      <w:r w:rsidR="000F6802" w:rsidRPr="00EF6F04">
        <w:rPr>
          <w:szCs w:val="24"/>
          <w:lang w:val="fr-FR"/>
        </w:rPr>
        <w:t>annexe n</w:t>
      </w:r>
      <w:r w:rsidR="006317C1" w:rsidRPr="00EF6F04">
        <w:rPr>
          <w:szCs w:val="24"/>
          <w:vertAlign w:val="superscript"/>
          <w:lang w:val="fr-FR"/>
        </w:rPr>
        <w:t>o</w:t>
      </w:r>
      <w:r w:rsidR="000F6802" w:rsidRPr="00EF6F04">
        <w:rPr>
          <w:szCs w:val="24"/>
          <w:lang w:val="fr-FR"/>
        </w:rPr>
        <w:t xml:space="preserve"> 2 du </w:t>
      </w:r>
      <w:r w:rsidR="00D32449" w:rsidRPr="00EF6F04">
        <w:rPr>
          <w:szCs w:val="24"/>
          <w:lang w:val="fr-FR"/>
        </w:rPr>
        <w:t xml:space="preserve">même </w:t>
      </w:r>
      <w:r w:rsidR="000F6802" w:rsidRPr="00EF6F04">
        <w:rPr>
          <w:szCs w:val="24"/>
          <w:lang w:val="fr-FR"/>
        </w:rPr>
        <w:t xml:space="preserve">code </w:t>
      </w:r>
      <w:r w:rsidR="00753AD3" w:rsidRPr="00EF6F04">
        <w:rPr>
          <w:szCs w:val="24"/>
          <w:lang w:val="fr-FR"/>
        </w:rPr>
        <w:t>établit</w:t>
      </w:r>
      <w:r w:rsidR="000F6802" w:rsidRPr="00EF6F04">
        <w:rPr>
          <w:szCs w:val="24"/>
          <w:lang w:val="fr-FR"/>
        </w:rPr>
        <w:t xml:space="preserve"> que « le président</w:t>
      </w:r>
      <w:r w:rsidR="002310B1" w:rsidRPr="00EF6F04">
        <w:rPr>
          <w:szCs w:val="24"/>
          <w:lang w:val="fr-FR"/>
        </w:rPr>
        <w:t xml:space="preserve"> (du TAR)</w:t>
      </w:r>
      <w:r w:rsidR="000F6802" w:rsidRPr="00EF6F04">
        <w:rPr>
          <w:szCs w:val="24"/>
          <w:lang w:val="fr-FR"/>
        </w:rPr>
        <w:t xml:space="preserve"> peut déroger au critère chronologique pour des raisons d</w:t>
      </w:r>
      <w:r w:rsidR="00EF6F04" w:rsidRPr="00EF6F04">
        <w:rPr>
          <w:szCs w:val="24"/>
          <w:lang w:val="fr-FR"/>
        </w:rPr>
        <w:t>’</w:t>
      </w:r>
      <w:r w:rsidR="000F6802" w:rsidRPr="00EF6F04">
        <w:rPr>
          <w:szCs w:val="24"/>
          <w:lang w:val="fr-FR"/>
        </w:rPr>
        <w:t>urgence, en tenant également compte de l</w:t>
      </w:r>
      <w:r w:rsidR="00EF6F04" w:rsidRPr="00EF6F04">
        <w:rPr>
          <w:szCs w:val="24"/>
          <w:lang w:val="fr-FR"/>
        </w:rPr>
        <w:t>’</w:t>
      </w:r>
      <w:r w:rsidR="000F6802" w:rsidRPr="00EF6F04">
        <w:rPr>
          <w:i/>
          <w:szCs w:val="24"/>
          <w:lang w:val="fr-FR"/>
        </w:rPr>
        <w:t>istanza di prelievo</w:t>
      </w:r>
      <w:r w:rsidR="000F6802" w:rsidRPr="00EF6F04">
        <w:rPr>
          <w:szCs w:val="24"/>
          <w:lang w:val="fr-FR"/>
        </w:rPr>
        <w:t xml:space="preserve">, </w:t>
      </w:r>
      <w:r w:rsidR="00AD606E" w:rsidRPr="00EF6F04">
        <w:rPr>
          <w:szCs w:val="24"/>
          <w:lang w:val="fr-FR"/>
        </w:rPr>
        <w:t xml:space="preserve">soit </w:t>
      </w:r>
      <w:r w:rsidR="002310B1" w:rsidRPr="00EF6F04">
        <w:rPr>
          <w:szCs w:val="24"/>
          <w:lang w:val="fr-FR"/>
        </w:rPr>
        <w:t xml:space="preserve">pour </w:t>
      </w:r>
      <w:r w:rsidR="00AD606E" w:rsidRPr="00EF6F04">
        <w:rPr>
          <w:szCs w:val="24"/>
          <w:lang w:val="fr-FR"/>
        </w:rPr>
        <w:t xml:space="preserve">les </w:t>
      </w:r>
      <w:r w:rsidR="002310B1" w:rsidRPr="00EF6F04">
        <w:rPr>
          <w:szCs w:val="24"/>
          <w:lang w:val="fr-FR"/>
        </w:rPr>
        <w:t>exigences liées à l</w:t>
      </w:r>
      <w:r w:rsidR="00EF6F04" w:rsidRPr="00EF6F04">
        <w:rPr>
          <w:szCs w:val="24"/>
          <w:lang w:val="fr-FR"/>
        </w:rPr>
        <w:t>’</w:t>
      </w:r>
      <w:r w:rsidR="002310B1" w:rsidRPr="00EF6F04">
        <w:rPr>
          <w:szCs w:val="24"/>
          <w:lang w:val="fr-FR"/>
        </w:rPr>
        <w:t xml:space="preserve">activité du tribunal, </w:t>
      </w:r>
      <w:r w:rsidR="00AD606E" w:rsidRPr="00EF6F04">
        <w:rPr>
          <w:szCs w:val="24"/>
          <w:lang w:val="fr-FR"/>
        </w:rPr>
        <w:t>soit</w:t>
      </w:r>
      <w:r w:rsidR="002310B1" w:rsidRPr="00EF6F04">
        <w:rPr>
          <w:szCs w:val="24"/>
          <w:lang w:val="fr-FR"/>
        </w:rPr>
        <w:t xml:space="preserve"> en raison de </w:t>
      </w:r>
      <w:r w:rsidR="00AA4CFE" w:rsidRPr="00EF6F04">
        <w:rPr>
          <w:szCs w:val="24"/>
          <w:lang w:val="fr-FR"/>
        </w:rPr>
        <w:t xml:space="preserve">la </w:t>
      </w:r>
      <w:r w:rsidR="002310B1" w:rsidRPr="00EF6F04">
        <w:rPr>
          <w:szCs w:val="24"/>
          <w:lang w:val="fr-FR"/>
        </w:rPr>
        <w:t>connexion de matière ou lorsque le Conseil d</w:t>
      </w:r>
      <w:r w:rsidR="00EF6F04" w:rsidRPr="00EF6F04">
        <w:rPr>
          <w:szCs w:val="24"/>
          <w:lang w:val="fr-FR"/>
        </w:rPr>
        <w:t>’</w:t>
      </w:r>
      <w:r w:rsidR="00AA4CFE" w:rsidRPr="00EF6F04">
        <w:rPr>
          <w:szCs w:val="24"/>
          <w:lang w:val="fr-FR"/>
        </w:rPr>
        <w:t>État</w:t>
      </w:r>
      <w:r w:rsidR="002310B1" w:rsidRPr="00EF6F04">
        <w:rPr>
          <w:szCs w:val="24"/>
          <w:lang w:val="fr-FR"/>
        </w:rPr>
        <w:t xml:space="preserve"> a annulé </w:t>
      </w:r>
      <w:r w:rsidR="00AD606E" w:rsidRPr="00EF6F04">
        <w:rPr>
          <w:szCs w:val="24"/>
          <w:lang w:val="fr-FR"/>
        </w:rPr>
        <w:t>un</w:t>
      </w:r>
      <w:r w:rsidR="002310B1" w:rsidRPr="00EF6F04">
        <w:rPr>
          <w:szCs w:val="24"/>
          <w:lang w:val="fr-FR"/>
        </w:rPr>
        <w:t xml:space="preserve"> jugement ou </w:t>
      </w:r>
      <w:r w:rsidR="00AD606E" w:rsidRPr="00EF6F04">
        <w:rPr>
          <w:szCs w:val="24"/>
          <w:lang w:val="fr-FR"/>
        </w:rPr>
        <w:t xml:space="preserve">une </w:t>
      </w:r>
      <w:r w:rsidR="002310B1" w:rsidRPr="00EF6F04">
        <w:rPr>
          <w:szCs w:val="24"/>
          <w:lang w:val="fr-FR"/>
        </w:rPr>
        <w:t>ordonnance et renvoyé</w:t>
      </w:r>
      <w:r w:rsidR="00AD606E" w:rsidRPr="00EF6F04">
        <w:rPr>
          <w:szCs w:val="24"/>
          <w:lang w:val="fr-FR"/>
        </w:rPr>
        <w:t>e l</w:t>
      </w:r>
      <w:r w:rsidR="00EF6F04" w:rsidRPr="00EF6F04">
        <w:rPr>
          <w:szCs w:val="24"/>
          <w:lang w:val="fr-FR"/>
        </w:rPr>
        <w:t>’</w:t>
      </w:r>
      <w:r w:rsidR="00AD606E" w:rsidRPr="00EF6F04">
        <w:rPr>
          <w:szCs w:val="24"/>
          <w:lang w:val="fr-FR"/>
        </w:rPr>
        <w:t>affaire</w:t>
      </w:r>
      <w:r w:rsidR="002310B1" w:rsidRPr="00EF6F04">
        <w:rPr>
          <w:szCs w:val="24"/>
          <w:lang w:val="fr-FR"/>
        </w:rPr>
        <w:t xml:space="preserve"> au juge de première instance ».</w:t>
      </w:r>
    </w:p>
    <w:p w:rsidR="002310B1" w:rsidRPr="00EF6F04" w:rsidRDefault="00AA2C28" w:rsidP="00EF6F04">
      <w:pPr>
        <w:pStyle w:val="ECHRPara"/>
        <w:rPr>
          <w:szCs w:val="24"/>
          <w:lang w:val="fr-FR"/>
        </w:rPr>
      </w:pPr>
      <w:r w:rsidRPr="00EF6F04">
        <w:rPr>
          <w:szCs w:val="24"/>
          <w:lang w:val="fr-FR"/>
        </w:rPr>
        <w:fldChar w:fldCharType="begin"/>
      </w:r>
      <w:r w:rsidRPr="00EF6F04">
        <w:rPr>
          <w:szCs w:val="24"/>
          <w:lang w:val="fr-FR"/>
        </w:rPr>
        <w:instrText xml:space="preserve"> SEQ level0 \*arabic </w:instrText>
      </w:r>
      <w:r w:rsidRPr="00EF6F04">
        <w:rPr>
          <w:szCs w:val="24"/>
          <w:lang w:val="fr-FR"/>
        </w:rPr>
        <w:fldChar w:fldCharType="separate"/>
      </w:r>
      <w:r w:rsidR="00EF6F04" w:rsidRPr="00EF6F04">
        <w:rPr>
          <w:noProof/>
          <w:szCs w:val="24"/>
          <w:lang w:val="fr-FR"/>
        </w:rPr>
        <w:t>56</w:t>
      </w:r>
      <w:r w:rsidRPr="00EF6F04">
        <w:rPr>
          <w:szCs w:val="24"/>
          <w:lang w:val="fr-FR"/>
        </w:rPr>
        <w:fldChar w:fldCharType="end"/>
      </w:r>
      <w:r w:rsidRPr="00EF6F04">
        <w:rPr>
          <w:szCs w:val="24"/>
          <w:lang w:val="fr-FR"/>
        </w:rPr>
        <w:t>.  </w:t>
      </w:r>
      <w:r w:rsidR="002310B1" w:rsidRPr="00EF6F04">
        <w:rPr>
          <w:szCs w:val="24"/>
          <w:lang w:val="fr-FR"/>
        </w:rPr>
        <w:t>La Cour</w:t>
      </w:r>
      <w:r w:rsidR="00AA4CFE" w:rsidRPr="00EF6F04">
        <w:rPr>
          <w:szCs w:val="24"/>
          <w:lang w:val="fr-FR"/>
        </w:rPr>
        <w:t xml:space="preserve"> note</w:t>
      </w:r>
      <w:r w:rsidR="00AD606E" w:rsidRPr="00EF6F04">
        <w:rPr>
          <w:szCs w:val="24"/>
          <w:lang w:val="fr-FR"/>
        </w:rPr>
        <w:t xml:space="preserve"> que le libellé </w:t>
      </w:r>
      <w:r w:rsidR="00AA4CFE" w:rsidRPr="00EF6F04">
        <w:rPr>
          <w:szCs w:val="24"/>
          <w:lang w:val="fr-FR"/>
        </w:rPr>
        <w:t xml:space="preserve">des </w:t>
      </w:r>
      <w:r w:rsidR="002310B1" w:rsidRPr="00EF6F04">
        <w:rPr>
          <w:szCs w:val="24"/>
          <w:lang w:val="fr-FR"/>
        </w:rPr>
        <w:t>deux texte</w:t>
      </w:r>
      <w:r w:rsidR="00750099" w:rsidRPr="00EF6F04">
        <w:rPr>
          <w:szCs w:val="24"/>
          <w:lang w:val="fr-FR"/>
        </w:rPr>
        <w:t>s de loi</w:t>
      </w:r>
      <w:r w:rsidR="00AD606E" w:rsidRPr="00EF6F04">
        <w:rPr>
          <w:szCs w:val="24"/>
          <w:lang w:val="fr-FR"/>
        </w:rPr>
        <w:t xml:space="preserve"> montre</w:t>
      </w:r>
      <w:r w:rsidR="002310B1" w:rsidRPr="00EF6F04">
        <w:rPr>
          <w:szCs w:val="24"/>
          <w:lang w:val="fr-FR"/>
        </w:rPr>
        <w:t xml:space="preserve"> </w:t>
      </w:r>
      <w:r w:rsidR="00AA4CFE" w:rsidRPr="00EF6F04">
        <w:rPr>
          <w:szCs w:val="24"/>
          <w:lang w:val="fr-FR"/>
        </w:rPr>
        <w:t xml:space="preserve">que </w:t>
      </w:r>
      <w:r w:rsidR="002310B1" w:rsidRPr="00EF6F04">
        <w:rPr>
          <w:szCs w:val="24"/>
          <w:lang w:val="fr-FR"/>
        </w:rPr>
        <w:t xml:space="preserve">le président du TAR </w:t>
      </w:r>
      <w:r w:rsidR="00ED063B" w:rsidRPr="00EF6F04">
        <w:rPr>
          <w:szCs w:val="24"/>
          <w:lang w:val="fr-FR"/>
        </w:rPr>
        <w:t>a</w:t>
      </w:r>
      <w:r w:rsidR="00820E5B" w:rsidRPr="00EF6F04">
        <w:rPr>
          <w:szCs w:val="24"/>
          <w:lang w:val="fr-FR"/>
        </w:rPr>
        <w:t xml:space="preserve"> une simple</w:t>
      </w:r>
      <w:r w:rsidR="002310B1" w:rsidRPr="00EF6F04">
        <w:rPr>
          <w:szCs w:val="24"/>
          <w:lang w:val="fr-FR"/>
        </w:rPr>
        <w:t xml:space="preserve"> faculté d</w:t>
      </w:r>
      <w:r w:rsidR="002D3FF8" w:rsidRPr="00EF6F04">
        <w:rPr>
          <w:szCs w:val="24"/>
          <w:lang w:val="fr-FR"/>
        </w:rPr>
        <w:t xml:space="preserve">e fixer </w:t>
      </w:r>
      <w:r w:rsidR="002310B1" w:rsidRPr="00EF6F04">
        <w:rPr>
          <w:szCs w:val="24"/>
          <w:lang w:val="fr-FR"/>
        </w:rPr>
        <w:t>la date de l</w:t>
      </w:r>
      <w:r w:rsidR="00EF6F04" w:rsidRPr="00EF6F04">
        <w:rPr>
          <w:szCs w:val="24"/>
          <w:lang w:val="fr-FR"/>
        </w:rPr>
        <w:t>’</w:t>
      </w:r>
      <w:r w:rsidR="002310B1" w:rsidRPr="00EF6F04">
        <w:rPr>
          <w:szCs w:val="24"/>
          <w:lang w:val="fr-FR"/>
        </w:rPr>
        <w:t>audience</w:t>
      </w:r>
      <w:r w:rsidR="00820E5B" w:rsidRPr="00EF6F04">
        <w:rPr>
          <w:szCs w:val="24"/>
          <w:lang w:val="fr-FR"/>
        </w:rPr>
        <w:t>. En deuxième lieu,</w:t>
      </w:r>
      <w:r w:rsidR="002D3FF8" w:rsidRPr="00EF6F04">
        <w:rPr>
          <w:szCs w:val="24"/>
          <w:lang w:val="fr-FR"/>
        </w:rPr>
        <w:t xml:space="preserve"> l</w:t>
      </w:r>
      <w:r w:rsidR="00EF6F04" w:rsidRPr="00EF6F04">
        <w:rPr>
          <w:szCs w:val="24"/>
          <w:lang w:val="fr-FR"/>
        </w:rPr>
        <w:t>’</w:t>
      </w:r>
      <w:r w:rsidR="002D3FF8" w:rsidRPr="00EF6F04">
        <w:rPr>
          <w:i/>
          <w:szCs w:val="24"/>
          <w:lang w:val="fr-FR"/>
        </w:rPr>
        <w:t>istanza di prelievo</w:t>
      </w:r>
      <w:r w:rsidR="002D3FF8" w:rsidRPr="00EF6F04">
        <w:rPr>
          <w:szCs w:val="24"/>
          <w:lang w:val="fr-FR"/>
        </w:rPr>
        <w:t xml:space="preserve"> </w:t>
      </w:r>
      <w:r w:rsidR="00820E5B" w:rsidRPr="00EF6F04">
        <w:rPr>
          <w:szCs w:val="24"/>
          <w:lang w:val="fr-FR"/>
        </w:rPr>
        <w:t>est</w:t>
      </w:r>
      <w:r w:rsidR="002D3FF8" w:rsidRPr="00EF6F04">
        <w:rPr>
          <w:szCs w:val="24"/>
          <w:lang w:val="fr-FR"/>
        </w:rPr>
        <w:t xml:space="preserve"> considéré</w:t>
      </w:r>
      <w:r w:rsidR="00993BAB" w:rsidRPr="00EF6F04">
        <w:rPr>
          <w:szCs w:val="24"/>
          <w:lang w:val="fr-FR"/>
        </w:rPr>
        <w:t>e</w:t>
      </w:r>
      <w:r w:rsidR="00820E5B" w:rsidRPr="00EF6F04">
        <w:rPr>
          <w:szCs w:val="24"/>
          <w:lang w:val="fr-FR"/>
        </w:rPr>
        <w:t xml:space="preserve"> comme</w:t>
      </w:r>
      <w:r w:rsidR="002D3FF8" w:rsidRPr="00EF6F04">
        <w:rPr>
          <w:szCs w:val="24"/>
          <w:lang w:val="fr-FR"/>
        </w:rPr>
        <w:t xml:space="preserve"> un critère parmi les autres </w:t>
      </w:r>
      <w:r w:rsidR="00993BAB" w:rsidRPr="00EF6F04">
        <w:rPr>
          <w:szCs w:val="24"/>
          <w:lang w:val="fr-FR"/>
        </w:rPr>
        <w:t>prévus à l</w:t>
      </w:r>
      <w:r w:rsidR="00EF6F04" w:rsidRPr="00EF6F04">
        <w:rPr>
          <w:szCs w:val="24"/>
          <w:lang w:val="fr-FR"/>
        </w:rPr>
        <w:t>’</w:t>
      </w:r>
      <w:r w:rsidR="00993BAB" w:rsidRPr="00EF6F04">
        <w:rPr>
          <w:szCs w:val="24"/>
          <w:lang w:val="fr-FR"/>
        </w:rPr>
        <w:t>article 8 de</w:t>
      </w:r>
      <w:r w:rsidR="002D3FF8" w:rsidRPr="00EF6F04">
        <w:rPr>
          <w:szCs w:val="24"/>
          <w:lang w:val="fr-FR"/>
        </w:rPr>
        <w:t xml:space="preserve"> l</w:t>
      </w:r>
      <w:r w:rsidR="00EF6F04" w:rsidRPr="00EF6F04">
        <w:rPr>
          <w:szCs w:val="24"/>
          <w:lang w:val="fr-FR"/>
        </w:rPr>
        <w:t>’</w:t>
      </w:r>
      <w:r w:rsidR="002D3FF8" w:rsidRPr="00EF6F04">
        <w:rPr>
          <w:szCs w:val="24"/>
          <w:lang w:val="fr-FR"/>
        </w:rPr>
        <w:t>annexe n</w:t>
      </w:r>
      <w:r w:rsidR="006317C1" w:rsidRPr="00EF6F04">
        <w:rPr>
          <w:szCs w:val="24"/>
          <w:vertAlign w:val="superscript"/>
          <w:lang w:val="fr-FR"/>
        </w:rPr>
        <w:t>o</w:t>
      </w:r>
      <w:r w:rsidR="002D3FF8" w:rsidRPr="00EF6F04">
        <w:rPr>
          <w:szCs w:val="24"/>
          <w:lang w:val="fr-FR"/>
        </w:rPr>
        <w:t xml:space="preserve"> 2 </w:t>
      </w:r>
      <w:r w:rsidR="00993BAB" w:rsidRPr="00EF6F04">
        <w:rPr>
          <w:szCs w:val="24"/>
          <w:lang w:val="fr-FR"/>
        </w:rPr>
        <w:t>du</w:t>
      </w:r>
      <w:r w:rsidR="00AD606E" w:rsidRPr="00EF6F04">
        <w:rPr>
          <w:szCs w:val="24"/>
          <w:lang w:val="fr-FR"/>
        </w:rPr>
        <w:t xml:space="preserve"> code de</w:t>
      </w:r>
      <w:r w:rsidR="002D3FF8" w:rsidRPr="00EF6F04">
        <w:rPr>
          <w:szCs w:val="24"/>
          <w:lang w:val="fr-FR"/>
        </w:rPr>
        <w:t xml:space="preserve"> proc</w:t>
      </w:r>
      <w:r w:rsidR="00AD606E" w:rsidRPr="00EF6F04">
        <w:rPr>
          <w:szCs w:val="24"/>
          <w:lang w:val="fr-FR"/>
        </w:rPr>
        <w:t>édure administrative</w:t>
      </w:r>
      <w:r w:rsidR="002D3FF8" w:rsidRPr="00EF6F04">
        <w:rPr>
          <w:szCs w:val="24"/>
          <w:lang w:val="fr-FR"/>
        </w:rPr>
        <w:t>.</w:t>
      </w:r>
      <w:r w:rsidR="002310B1" w:rsidRPr="00EF6F04">
        <w:rPr>
          <w:szCs w:val="24"/>
          <w:lang w:val="fr-FR"/>
        </w:rPr>
        <w:t xml:space="preserve"> </w:t>
      </w:r>
      <w:r w:rsidR="00750099" w:rsidRPr="00EF6F04">
        <w:rPr>
          <w:szCs w:val="24"/>
          <w:lang w:val="fr-FR"/>
        </w:rPr>
        <w:t>En</w:t>
      </w:r>
      <w:r w:rsidR="00820E5B" w:rsidRPr="00EF6F04">
        <w:rPr>
          <w:szCs w:val="24"/>
          <w:lang w:val="fr-FR"/>
        </w:rPr>
        <w:t xml:space="preserve">fin, </w:t>
      </w:r>
      <w:r w:rsidR="00AD606E" w:rsidRPr="00EF6F04">
        <w:rPr>
          <w:szCs w:val="24"/>
          <w:lang w:val="fr-FR"/>
        </w:rPr>
        <w:t>faute</w:t>
      </w:r>
      <w:r w:rsidR="00750099" w:rsidRPr="00EF6F04">
        <w:rPr>
          <w:szCs w:val="24"/>
          <w:lang w:val="fr-FR"/>
        </w:rPr>
        <w:t xml:space="preserve"> d</w:t>
      </w:r>
      <w:r w:rsidR="00EF6F04" w:rsidRPr="00EF6F04">
        <w:rPr>
          <w:szCs w:val="24"/>
          <w:lang w:val="fr-FR"/>
        </w:rPr>
        <w:t>’</w:t>
      </w:r>
      <w:r w:rsidR="00750099" w:rsidRPr="00EF6F04">
        <w:rPr>
          <w:szCs w:val="24"/>
          <w:lang w:val="fr-FR"/>
        </w:rPr>
        <w:t>informations du Gouvernement à ce sujet,</w:t>
      </w:r>
      <w:r w:rsidR="00820E5B" w:rsidRPr="00EF6F04">
        <w:rPr>
          <w:szCs w:val="24"/>
          <w:lang w:val="fr-FR"/>
        </w:rPr>
        <w:t xml:space="preserve"> il y a lieu de remarquer qu</w:t>
      </w:r>
      <w:r w:rsidR="00EF6F04" w:rsidRPr="00EF6F04">
        <w:rPr>
          <w:szCs w:val="24"/>
          <w:lang w:val="fr-FR"/>
        </w:rPr>
        <w:t>’</w:t>
      </w:r>
      <w:r w:rsidR="00820E5B" w:rsidRPr="00EF6F04">
        <w:rPr>
          <w:szCs w:val="24"/>
          <w:lang w:val="fr-FR"/>
        </w:rPr>
        <w:t>il n</w:t>
      </w:r>
      <w:r w:rsidR="00C7748B" w:rsidRPr="00EF6F04">
        <w:rPr>
          <w:szCs w:val="24"/>
          <w:lang w:val="fr-FR"/>
        </w:rPr>
        <w:t xml:space="preserve">e </w:t>
      </w:r>
      <w:r w:rsidR="00534661" w:rsidRPr="00EF6F04">
        <w:rPr>
          <w:szCs w:val="24"/>
          <w:lang w:val="fr-FR"/>
        </w:rPr>
        <w:t>semble pas</w:t>
      </w:r>
      <w:r w:rsidR="00DD09FD" w:rsidRPr="00EF6F04">
        <w:rPr>
          <w:szCs w:val="24"/>
          <w:lang w:val="fr-FR"/>
        </w:rPr>
        <w:t xml:space="preserve"> que</w:t>
      </w:r>
      <w:r w:rsidR="00534661" w:rsidRPr="00EF6F04">
        <w:rPr>
          <w:szCs w:val="24"/>
          <w:lang w:val="fr-FR"/>
        </w:rPr>
        <w:t xml:space="preserve"> </w:t>
      </w:r>
      <w:r w:rsidR="00DD09FD" w:rsidRPr="00EF6F04">
        <w:rPr>
          <w:szCs w:val="24"/>
          <w:lang w:val="fr-FR"/>
        </w:rPr>
        <w:t xml:space="preserve">la législation nationale ait prévu </w:t>
      </w:r>
      <w:r w:rsidR="00DD09FD" w:rsidRPr="00EF6F04">
        <w:rPr>
          <w:lang w:val="fr-FR"/>
        </w:rPr>
        <w:t>des modalités précises quant au traitement de la demande en question</w:t>
      </w:r>
      <w:r w:rsidR="00C7748B" w:rsidRPr="00EF6F04">
        <w:rPr>
          <w:szCs w:val="24"/>
          <w:lang w:val="fr-FR"/>
        </w:rPr>
        <w:t xml:space="preserve">, </w:t>
      </w:r>
      <w:r w:rsidR="00DD09FD" w:rsidRPr="00EF6F04">
        <w:rPr>
          <w:szCs w:val="24"/>
          <w:lang w:val="fr-FR"/>
        </w:rPr>
        <w:t>en particulier</w:t>
      </w:r>
      <w:r w:rsidR="00C7748B" w:rsidRPr="00EF6F04">
        <w:rPr>
          <w:szCs w:val="24"/>
          <w:lang w:val="fr-FR"/>
        </w:rPr>
        <w:t xml:space="preserve"> </w:t>
      </w:r>
      <w:r w:rsidR="00993BAB" w:rsidRPr="00EF6F04">
        <w:rPr>
          <w:szCs w:val="24"/>
          <w:lang w:val="fr-FR"/>
        </w:rPr>
        <w:t>les</w:t>
      </w:r>
      <w:r w:rsidR="00750099" w:rsidRPr="00EF6F04">
        <w:rPr>
          <w:szCs w:val="24"/>
          <w:lang w:val="fr-FR"/>
        </w:rPr>
        <w:t xml:space="preserve"> critère</w:t>
      </w:r>
      <w:r w:rsidR="00AD606E" w:rsidRPr="00EF6F04">
        <w:rPr>
          <w:szCs w:val="24"/>
          <w:lang w:val="fr-FR"/>
        </w:rPr>
        <w:t>s</w:t>
      </w:r>
      <w:r w:rsidR="00993BAB" w:rsidRPr="00EF6F04">
        <w:rPr>
          <w:szCs w:val="24"/>
          <w:lang w:val="fr-FR"/>
        </w:rPr>
        <w:t xml:space="preserve"> </w:t>
      </w:r>
      <w:r w:rsidR="00820E5B" w:rsidRPr="00EF6F04">
        <w:rPr>
          <w:szCs w:val="24"/>
          <w:lang w:val="fr-FR"/>
        </w:rPr>
        <w:t>qu</w:t>
      </w:r>
      <w:r w:rsidR="00AD606E" w:rsidRPr="00EF6F04">
        <w:rPr>
          <w:szCs w:val="24"/>
          <w:lang w:val="fr-FR"/>
        </w:rPr>
        <w:t>e</w:t>
      </w:r>
      <w:r w:rsidR="00820E5B" w:rsidRPr="00EF6F04">
        <w:rPr>
          <w:szCs w:val="24"/>
          <w:lang w:val="fr-FR"/>
        </w:rPr>
        <w:t xml:space="preserve"> </w:t>
      </w:r>
      <w:r w:rsidR="00C7748B" w:rsidRPr="00EF6F04">
        <w:rPr>
          <w:szCs w:val="24"/>
          <w:lang w:val="fr-FR"/>
        </w:rPr>
        <w:t xml:space="preserve">le président du TAR </w:t>
      </w:r>
      <w:r w:rsidR="00AD606E" w:rsidRPr="00EF6F04">
        <w:rPr>
          <w:szCs w:val="24"/>
          <w:lang w:val="fr-FR"/>
        </w:rPr>
        <w:t xml:space="preserve">doit appliquer </w:t>
      </w:r>
      <w:r w:rsidR="00750099" w:rsidRPr="00EF6F04">
        <w:rPr>
          <w:szCs w:val="24"/>
          <w:lang w:val="fr-FR"/>
        </w:rPr>
        <w:t xml:space="preserve">pour </w:t>
      </w:r>
      <w:r w:rsidR="00993BAB" w:rsidRPr="00EF6F04">
        <w:rPr>
          <w:szCs w:val="24"/>
          <w:lang w:val="fr-FR"/>
        </w:rPr>
        <w:t xml:space="preserve">rejeter ou </w:t>
      </w:r>
      <w:r w:rsidR="00750099" w:rsidRPr="00EF6F04">
        <w:rPr>
          <w:szCs w:val="24"/>
          <w:lang w:val="fr-FR"/>
        </w:rPr>
        <w:t xml:space="preserve">faire droit </w:t>
      </w:r>
      <w:r w:rsidR="00993BAB" w:rsidRPr="00EF6F04">
        <w:rPr>
          <w:szCs w:val="24"/>
          <w:lang w:val="fr-FR"/>
        </w:rPr>
        <w:t xml:space="preserve">à </w:t>
      </w:r>
      <w:r w:rsidR="00534661" w:rsidRPr="00EF6F04">
        <w:rPr>
          <w:szCs w:val="24"/>
          <w:lang w:val="fr-FR"/>
        </w:rPr>
        <w:t>la demande</w:t>
      </w:r>
      <w:r w:rsidR="00305F84" w:rsidRPr="00EF6F04">
        <w:rPr>
          <w:szCs w:val="24"/>
          <w:lang w:val="fr-FR"/>
        </w:rPr>
        <w:t xml:space="preserve"> </w:t>
      </w:r>
      <w:r w:rsidR="00534661" w:rsidRPr="00EF6F04">
        <w:rPr>
          <w:szCs w:val="24"/>
          <w:lang w:val="fr-FR"/>
        </w:rPr>
        <w:t>et les conséquences</w:t>
      </w:r>
      <w:r w:rsidR="00DD09FD" w:rsidRPr="00EF6F04">
        <w:rPr>
          <w:szCs w:val="24"/>
          <w:lang w:val="fr-FR"/>
        </w:rPr>
        <w:t>, en cas de décision favorable à la partie,</w:t>
      </w:r>
      <w:r w:rsidR="00534661" w:rsidRPr="00EF6F04">
        <w:rPr>
          <w:szCs w:val="24"/>
          <w:lang w:val="fr-FR"/>
        </w:rPr>
        <w:t xml:space="preserve"> sur le déroulement de la procédure</w:t>
      </w:r>
      <w:r w:rsidR="00750099" w:rsidRPr="00EF6F04">
        <w:rPr>
          <w:szCs w:val="24"/>
          <w:lang w:val="fr-FR"/>
        </w:rPr>
        <w:t>.</w:t>
      </w:r>
    </w:p>
    <w:p w:rsidR="00246193" w:rsidRPr="00EF6F04" w:rsidRDefault="002310B1" w:rsidP="00EF6F04">
      <w:pPr>
        <w:pStyle w:val="ECHRPara"/>
        <w:rPr>
          <w:lang w:val="fr-FR"/>
        </w:rPr>
      </w:pPr>
      <w:r w:rsidRPr="00EF6F04">
        <w:rPr>
          <w:szCs w:val="24"/>
          <w:lang w:val="fr-FR"/>
        </w:rPr>
        <w:fldChar w:fldCharType="begin"/>
      </w:r>
      <w:r w:rsidRPr="00EF6F04">
        <w:rPr>
          <w:szCs w:val="24"/>
          <w:lang w:val="fr-FR"/>
        </w:rPr>
        <w:instrText xml:space="preserve"> SEQ level0 \*arabic </w:instrText>
      </w:r>
      <w:r w:rsidRPr="00EF6F04">
        <w:rPr>
          <w:szCs w:val="24"/>
          <w:lang w:val="fr-FR"/>
        </w:rPr>
        <w:fldChar w:fldCharType="separate"/>
      </w:r>
      <w:r w:rsidR="00EF6F04" w:rsidRPr="00EF6F04">
        <w:rPr>
          <w:noProof/>
          <w:szCs w:val="24"/>
          <w:lang w:val="fr-FR"/>
        </w:rPr>
        <w:t>57</w:t>
      </w:r>
      <w:r w:rsidRPr="00EF6F04">
        <w:rPr>
          <w:szCs w:val="24"/>
          <w:lang w:val="fr-FR"/>
        </w:rPr>
        <w:fldChar w:fldCharType="end"/>
      </w:r>
      <w:r w:rsidR="00F23433" w:rsidRPr="00EF6F04">
        <w:rPr>
          <w:szCs w:val="24"/>
          <w:lang w:val="fr-FR"/>
        </w:rPr>
        <w:t>. </w:t>
      </w:r>
      <w:r w:rsidR="00CE65C8" w:rsidRPr="00EF6F04">
        <w:rPr>
          <w:szCs w:val="24"/>
          <w:lang w:val="fr-FR"/>
        </w:rPr>
        <w:t> </w:t>
      </w:r>
      <w:r w:rsidR="00501410" w:rsidRPr="00EF6F04">
        <w:rPr>
          <w:szCs w:val="24"/>
          <w:lang w:val="fr-FR"/>
        </w:rPr>
        <w:t xml:space="preserve">La Cour </w:t>
      </w:r>
      <w:r w:rsidR="00546510" w:rsidRPr="00EF6F04">
        <w:rPr>
          <w:szCs w:val="24"/>
          <w:lang w:val="fr-FR"/>
        </w:rPr>
        <w:t>rappelle</w:t>
      </w:r>
      <w:r w:rsidR="00501410" w:rsidRPr="00EF6F04">
        <w:rPr>
          <w:szCs w:val="24"/>
          <w:lang w:val="fr-FR"/>
        </w:rPr>
        <w:t xml:space="preserve"> que</w:t>
      </w:r>
      <w:r w:rsidR="00F23433" w:rsidRPr="00EF6F04">
        <w:rPr>
          <w:szCs w:val="24"/>
          <w:lang w:val="fr-FR"/>
        </w:rPr>
        <w:t xml:space="preserve"> l</w:t>
      </w:r>
      <w:r w:rsidR="00993BAB" w:rsidRPr="00EF6F04">
        <w:rPr>
          <w:szCs w:val="24"/>
          <w:lang w:val="fr-FR"/>
        </w:rPr>
        <w:t>e</w:t>
      </w:r>
      <w:r w:rsidR="00F23433" w:rsidRPr="00EF6F04">
        <w:rPr>
          <w:szCs w:val="24"/>
          <w:lang w:val="fr-FR"/>
        </w:rPr>
        <w:t xml:space="preserve"> Gouvernement </w:t>
      </w:r>
      <w:r w:rsidR="00546510" w:rsidRPr="00EF6F04">
        <w:rPr>
          <w:szCs w:val="24"/>
          <w:lang w:val="fr-FR"/>
        </w:rPr>
        <w:t xml:space="preserve">a affirmé que </w:t>
      </w:r>
      <w:r w:rsidR="00895B92" w:rsidRPr="00EF6F04">
        <w:rPr>
          <w:szCs w:val="24"/>
          <w:lang w:val="fr-FR"/>
        </w:rPr>
        <w:t>la demande de fixation en urgence de la date de l</w:t>
      </w:r>
      <w:r w:rsidR="00EF6F04" w:rsidRPr="00EF6F04">
        <w:rPr>
          <w:szCs w:val="24"/>
          <w:lang w:val="fr-FR"/>
        </w:rPr>
        <w:t>’</w:t>
      </w:r>
      <w:r w:rsidR="00895B92" w:rsidRPr="00EF6F04">
        <w:rPr>
          <w:szCs w:val="24"/>
          <w:lang w:val="fr-FR"/>
        </w:rPr>
        <w:t>audience</w:t>
      </w:r>
      <w:r w:rsidR="00546510" w:rsidRPr="00EF6F04">
        <w:rPr>
          <w:szCs w:val="24"/>
          <w:lang w:val="fr-FR"/>
        </w:rPr>
        <w:t xml:space="preserve"> serait un remède accélératoire comparable à ceux existant dans d</w:t>
      </w:r>
      <w:r w:rsidR="00EF6F04" w:rsidRPr="00EF6F04">
        <w:rPr>
          <w:szCs w:val="24"/>
          <w:lang w:val="fr-FR"/>
        </w:rPr>
        <w:t>’</w:t>
      </w:r>
      <w:r w:rsidR="00546510" w:rsidRPr="00EF6F04">
        <w:rPr>
          <w:szCs w:val="24"/>
          <w:lang w:val="fr-FR"/>
        </w:rPr>
        <w:t>autres systèmes juridiques de</w:t>
      </w:r>
      <w:r w:rsidR="008B1E64" w:rsidRPr="00EF6F04">
        <w:rPr>
          <w:szCs w:val="24"/>
          <w:lang w:val="fr-FR"/>
        </w:rPr>
        <w:t>s</w:t>
      </w:r>
      <w:r w:rsidR="00546510" w:rsidRPr="00EF6F04">
        <w:rPr>
          <w:szCs w:val="24"/>
          <w:lang w:val="fr-FR"/>
        </w:rPr>
        <w:t xml:space="preserve"> pays membres du Conseil de l</w:t>
      </w:r>
      <w:r w:rsidR="00EF6F04" w:rsidRPr="00EF6F04">
        <w:rPr>
          <w:szCs w:val="24"/>
          <w:lang w:val="fr-FR"/>
        </w:rPr>
        <w:t>’</w:t>
      </w:r>
      <w:r w:rsidR="00546510" w:rsidRPr="00EF6F04">
        <w:rPr>
          <w:szCs w:val="24"/>
          <w:lang w:val="fr-FR"/>
        </w:rPr>
        <w:t>Europe. Force est, toutefois, de constater qu</w:t>
      </w:r>
      <w:r w:rsidR="00EF6F04" w:rsidRPr="00EF6F04">
        <w:rPr>
          <w:szCs w:val="24"/>
          <w:lang w:val="fr-FR"/>
        </w:rPr>
        <w:t>’</w:t>
      </w:r>
      <w:r w:rsidR="00546510" w:rsidRPr="00EF6F04">
        <w:rPr>
          <w:szCs w:val="24"/>
          <w:lang w:val="fr-FR"/>
        </w:rPr>
        <w:t>il n</w:t>
      </w:r>
      <w:r w:rsidR="00EF6F04" w:rsidRPr="00EF6F04">
        <w:rPr>
          <w:szCs w:val="24"/>
          <w:lang w:val="fr-FR"/>
        </w:rPr>
        <w:t>’</w:t>
      </w:r>
      <w:r w:rsidR="00546510" w:rsidRPr="00EF6F04">
        <w:rPr>
          <w:szCs w:val="24"/>
          <w:lang w:val="fr-FR"/>
        </w:rPr>
        <w:t>a fourni</w:t>
      </w:r>
      <w:r w:rsidR="00F23433" w:rsidRPr="00EF6F04">
        <w:rPr>
          <w:szCs w:val="24"/>
          <w:lang w:val="fr-FR"/>
        </w:rPr>
        <w:t xml:space="preserve"> </w:t>
      </w:r>
      <w:r w:rsidR="00534661" w:rsidRPr="00EF6F04">
        <w:rPr>
          <w:szCs w:val="24"/>
          <w:lang w:val="fr-FR"/>
        </w:rPr>
        <w:t>aucun</w:t>
      </w:r>
      <w:r w:rsidR="00F23433" w:rsidRPr="00EF6F04">
        <w:rPr>
          <w:szCs w:val="24"/>
          <w:lang w:val="fr-FR"/>
        </w:rPr>
        <w:t xml:space="preserve"> </w:t>
      </w:r>
      <w:r w:rsidR="00534661" w:rsidRPr="00EF6F04">
        <w:rPr>
          <w:szCs w:val="24"/>
          <w:lang w:val="fr-FR"/>
        </w:rPr>
        <w:t>exemple de la pratique judiciaire sur ce point</w:t>
      </w:r>
      <w:r w:rsidR="00F23433" w:rsidRPr="00EF6F04">
        <w:rPr>
          <w:szCs w:val="24"/>
          <w:lang w:val="fr-FR"/>
        </w:rPr>
        <w:t xml:space="preserve">. </w:t>
      </w:r>
      <w:r w:rsidR="00ED063B" w:rsidRPr="00EF6F04">
        <w:rPr>
          <w:szCs w:val="24"/>
          <w:lang w:val="fr-FR"/>
        </w:rPr>
        <w:t>À cet égard</w:t>
      </w:r>
      <w:r w:rsidR="00F23433" w:rsidRPr="00EF6F04">
        <w:rPr>
          <w:szCs w:val="24"/>
          <w:lang w:val="fr-FR"/>
        </w:rPr>
        <w:t>, le Cour s</w:t>
      </w:r>
      <w:r w:rsidR="00EF6F04" w:rsidRPr="00EF6F04">
        <w:rPr>
          <w:szCs w:val="24"/>
          <w:lang w:val="fr-FR"/>
        </w:rPr>
        <w:t>’</w:t>
      </w:r>
      <w:r w:rsidR="00F23433" w:rsidRPr="00EF6F04">
        <w:rPr>
          <w:szCs w:val="24"/>
          <w:lang w:val="fr-FR"/>
        </w:rPr>
        <w:t xml:space="preserve">est </w:t>
      </w:r>
      <w:r w:rsidR="00246193" w:rsidRPr="00EF6F04">
        <w:rPr>
          <w:szCs w:val="24"/>
          <w:lang w:val="fr-FR"/>
        </w:rPr>
        <w:t>penchée</w:t>
      </w:r>
      <w:r w:rsidR="00F23433" w:rsidRPr="00EF6F04">
        <w:rPr>
          <w:szCs w:val="24"/>
          <w:lang w:val="fr-FR"/>
        </w:rPr>
        <w:t xml:space="preserve"> sur </w:t>
      </w:r>
      <w:r w:rsidR="00EB3346" w:rsidRPr="00EF6F04">
        <w:rPr>
          <w:szCs w:val="24"/>
          <w:lang w:val="fr-FR"/>
        </w:rPr>
        <w:t>une série</w:t>
      </w:r>
      <w:r w:rsidR="00EB3346" w:rsidRPr="00EF6F04">
        <w:rPr>
          <w:lang w:val="fr-FR"/>
        </w:rPr>
        <w:t xml:space="preserve"> d</w:t>
      </w:r>
      <w:r w:rsidR="00EF6F04" w:rsidRPr="00EF6F04">
        <w:rPr>
          <w:lang w:val="fr-FR"/>
        </w:rPr>
        <w:t>’</w:t>
      </w:r>
      <w:r w:rsidR="00EB3346" w:rsidRPr="00EF6F04">
        <w:rPr>
          <w:lang w:val="fr-FR"/>
        </w:rPr>
        <w:t xml:space="preserve">arrêts de la Cour de cassation rendus entre 2014 et 2015 en matière de </w:t>
      </w:r>
      <w:r w:rsidR="00895B92" w:rsidRPr="00EF6F04">
        <w:rPr>
          <w:lang w:val="fr-FR"/>
        </w:rPr>
        <w:t>durée excessive de procédures juridictionnelles administratives</w:t>
      </w:r>
      <w:r w:rsidR="00AD606E" w:rsidRPr="00EF6F04">
        <w:rPr>
          <w:lang w:val="fr-FR"/>
        </w:rPr>
        <w:t>,</w:t>
      </w:r>
      <w:r w:rsidR="00EB3346" w:rsidRPr="00EF6F04">
        <w:rPr>
          <w:lang w:val="fr-FR"/>
        </w:rPr>
        <w:t xml:space="preserve"> afin d</w:t>
      </w:r>
      <w:r w:rsidR="00EF6F04" w:rsidRPr="00EF6F04">
        <w:rPr>
          <w:lang w:val="fr-FR"/>
        </w:rPr>
        <w:t>’</w:t>
      </w:r>
      <w:r w:rsidR="00EB3346" w:rsidRPr="00EF6F04">
        <w:rPr>
          <w:lang w:val="fr-FR"/>
        </w:rPr>
        <w:t>évaluer</w:t>
      </w:r>
      <w:r w:rsidR="00895B92" w:rsidRPr="00EF6F04">
        <w:rPr>
          <w:lang w:val="fr-FR"/>
        </w:rPr>
        <w:t xml:space="preserve"> l</w:t>
      </w:r>
      <w:r w:rsidR="00EF6F04" w:rsidRPr="00EF6F04">
        <w:rPr>
          <w:lang w:val="fr-FR"/>
        </w:rPr>
        <w:t>’</w:t>
      </w:r>
      <w:r w:rsidR="00895B92" w:rsidRPr="00EF6F04">
        <w:rPr>
          <w:lang w:val="fr-FR"/>
        </w:rPr>
        <w:t xml:space="preserve">effet pratique </w:t>
      </w:r>
      <w:r w:rsidR="00EB3346" w:rsidRPr="00EF6F04">
        <w:rPr>
          <w:lang w:val="fr-FR"/>
        </w:rPr>
        <w:t xml:space="preserve">de la demande </w:t>
      </w:r>
      <w:r w:rsidR="00AA2C28" w:rsidRPr="00EF6F04">
        <w:rPr>
          <w:lang w:val="fr-FR"/>
        </w:rPr>
        <w:t>de fixation en urgence de la date de l</w:t>
      </w:r>
      <w:r w:rsidR="00EF6F04" w:rsidRPr="00EF6F04">
        <w:rPr>
          <w:lang w:val="fr-FR"/>
        </w:rPr>
        <w:t>’</w:t>
      </w:r>
      <w:r w:rsidR="00AA2C28" w:rsidRPr="00EF6F04">
        <w:rPr>
          <w:lang w:val="fr-FR"/>
        </w:rPr>
        <w:t>audience</w:t>
      </w:r>
      <w:r w:rsidR="001D33D8" w:rsidRPr="00EF6F04">
        <w:rPr>
          <w:lang w:val="fr-FR"/>
        </w:rPr>
        <w:t xml:space="preserve"> (l</w:t>
      </w:r>
      <w:r w:rsidR="00EF6F04" w:rsidRPr="00EF6F04">
        <w:rPr>
          <w:lang w:val="fr-FR"/>
        </w:rPr>
        <w:t>’</w:t>
      </w:r>
      <w:r w:rsidR="001D33D8" w:rsidRPr="00EF6F04">
        <w:rPr>
          <w:i/>
          <w:lang w:val="fr-FR"/>
        </w:rPr>
        <w:t>istanza di prelievo</w:t>
      </w:r>
      <w:r w:rsidR="001D33D8" w:rsidRPr="00EF6F04">
        <w:rPr>
          <w:lang w:val="fr-FR"/>
        </w:rPr>
        <w:t>)</w:t>
      </w:r>
      <w:r w:rsidR="00EB3346" w:rsidRPr="00EF6F04">
        <w:rPr>
          <w:lang w:val="fr-FR"/>
        </w:rPr>
        <w:t xml:space="preserve"> </w:t>
      </w:r>
      <w:r w:rsidR="00895B92" w:rsidRPr="00EF6F04">
        <w:rPr>
          <w:lang w:val="fr-FR"/>
        </w:rPr>
        <w:t>sur le déroulement de la procédure principale</w:t>
      </w:r>
      <w:r w:rsidR="00246193" w:rsidRPr="00EF6F04">
        <w:rPr>
          <w:lang w:val="fr-FR"/>
        </w:rPr>
        <w:t>.</w:t>
      </w:r>
    </w:p>
    <w:p w:rsidR="00601698" w:rsidRPr="00EF6F04" w:rsidRDefault="00246193" w:rsidP="00EF6F04">
      <w:pPr>
        <w:pStyle w:val="ECHRPara"/>
        <w:rPr>
          <w:lang w:val="fr-FR"/>
        </w:rPr>
      </w:pPr>
      <w:r w:rsidRPr="00EF6F04">
        <w:rPr>
          <w:szCs w:val="24"/>
          <w:lang w:val="fr-FR"/>
        </w:rPr>
        <w:fldChar w:fldCharType="begin"/>
      </w:r>
      <w:r w:rsidRPr="00EF6F04">
        <w:rPr>
          <w:szCs w:val="24"/>
          <w:lang w:val="fr-FR"/>
        </w:rPr>
        <w:instrText xml:space="preserve"> SEQ level0 \*arabic </w:instrText>
      </w:r>
      <w:r w:rsidRPr="00EF6F04">
        <w:rPr>
          <w:szCs w:val="24"/>
          <w:lang w:val="fr-FR"/>
        </w:rPr>
        <w:fldChar w:fldCharType="separate"/>
      </w:r>
      <w:r w:rsidR="00EF6F04" w:rsidRPr="00EF6F04">
        <w:rPr>
          <w:noProof/>
          <w:szCs w:val="24"/>
          <w:lang w:val="fr-FR"/>
        </w:rPr>
        <w:t>58</w:t>
      </w:r>
      <w:r w:rsidRPr="00EF6F04">
        <w:rPr>
          <w:szCs w:val="24"/>
          <w:lang w:val="fr-FR"/>
        </w:rPr>
        <w:fldChar w:fldCharType="end"/>
      </w:r>
      <w:r w:rsidRPr="00EF6F04">
        <w:rPr>
          <w:szCs w:val="24"/>
          <w:lang w:val="fr-FR"/>
        </w:rPr>
        <w:t xml:space="preserve">.  Il résulte de ces arrêts que, </w:t>
      </w:r>
      <w:r w:rsidR="00895B92" w:rsidRPr="00EF6F04">
        <w:rPr>
          <w:szCs w:val="24"/>
          <w:lang w:val="fr-FR"/>
        </w:rPr>
        <w:t>entre</w:t>
      </w:r>
      <w:r w:rsidR="00A45B68" w:rsidRPr="00EF6F04">
        <w:rPr>
          <w:szCs w:val="24"/>
          <w:lang w:val="fr-FR"/>
        </w:rPr>
        <w:t xml:space="preserve"> la date</w:t>
      </w:r>
      <w:r w:rsidRPr="00EF6F04">
        <w:rPr>
          <w:szCs w:val="24"/>
          <w:lang w:val="fr-FR"/>
        </w:rPr>
        <w:t xml:space="preserve"> de la présentation </w:t>
      </w:r>
      <w:r w:rsidR="00601698" w:rsidRPr="00EF6F04">
        <w:rPr>
          <w:lang w:val="fr-FR"/>
        </w:rPr>
        <w:t>de la demande</w:t>
      </w:r>
      <w:r w:rsidR="00895B92" w:rsidRPr="00EF6F04">
        <w:rPr>
          <w:lang w:val="fr-FR"/>
        </w:rPr>
        <w:t xml:space="preserve"> et la date de fixation de l</w:t>
      </w:r>
      <w:r w:rsidR="00EF6F04" w:rsidRPr="00EF6F04">
        <w:rPr>
          <w:lang w:val="fr-FR"/>
        </w:rPr>
        <w:t>’</w:t>
      </w:r>
      <w:r w:rsidR="00895B92" w:rsidRPr="00EF6F04">
        <w:rPr>
          <w:lang w:val="fr-FR"/>
        </w:rPr>
        <w:t>audience de discussion</w:t>
      </w:r>
      <w:r w:rsidR="00601698" w:rsidRPr="00EF6F04">
        <w:rPr>
          <w:lang w:val="fr-FR"/>
        </w:rPr>
        <w:t>, l</w:t>
      </w:r>
      <w:r w:rsidR="00AD606E" w:rsidRPr="00EF6F04">
        <w:rPr>
          <w:lang w:val="fr-FR"/>
        </w:rPr>
        <w:t>a</w:t>
      </w:r>
      <w:r w:rsidR="00534661" w:rsidRPr="00EF6F04">
        <w:rPr>
          <w:lang w:val="fr-FR"/>
        </w:rPr>
        <w:t xml:space="preserve"> proc</w:t>
      </w:r>
      <w:r w:rsidR="00AD606E" w:rsidRPr="00EF6F04">
        <w:rPr>
          <w:lang w:val="fr-FR"/>
        </w:rPr>
        <w:t>édure juridictionnelle administrative</w:t>
      </w:r>
      <w:r w:rsidR="00601698" w:rsidRPr="00EF6F04">
        <w:rPr>
          <w:lang w:val="fr-FR"/>
        </w:rPr>
        <w:t xml:space="preserve"> a eu une durée ultérieure de plus d</w:t>
      </w:r>
      <w:r w:rsidR="00EF6F04" w:rsidRPr="00EF6F04">
        <w:rPr>
          <w:lang w:val="fr-FR"/>
        </w:rPr>
        <w:t>’</w:t>
      </w:r>
      <w:r w:rsidR="00601698" w:rsidRPr="00EF6F04">
        <w:rPr>
          <w:lang w:val="fr-FR"/>
        </w:rPr>
        <w:t>un an et demi (arrêt n</w:t>
      </w:r>
      <w:r w:rsidR="00601698" w:rsidRPr="00EF6F04">
        <w:rPr>
          <w:vertAlign w:val="superscript"/>
          <w:lang w:val="fr-FR"/>
        </w:rPr>
        <w:t>o</w:t>
      </w:r>
      <w:r w:rsidR="00601698" w:rsidRPr="00EF6F04">
        <w:rPr>
          <w:lang w:val="fr-FR"/>
        </w:rPr>
        <w:t xml:space="preserve"> 23902/14</w:t>
      </w:r>
      <w:r w:rsidR="00D569D5" w:rsidRPr="00EF6F04">
        <w:rPr>
          <w:lang w:val="fr-FR"/>
        </w:rPr>
        <w:t>, dépôt du 10 novembre 2014</w:t>
      </w:r>
      <w:r w:rsidR="00601698" w:rsidRPr="00EF6F04">
        <w:rPr>
          <w:lang w:val="fr-FR"/>
        </w:rPr>
        <w:t>), de presque deux ans (arrêt n</w:t>
      </w:r>
      <w:r w:rsidR="00601698" w:rsidRPr="00EF6F04">
        <w:rPr>
          <w:vertAlign w:val="superscript"/>
          <w:lang w:val="fr-FR"/>
        </w:rPr>
        <w:t>o</w:t>
      </w:r>
      <w:r w:rsidR="00601698" w:rsidRPr="00EF6F04">
        <w:rPr>
          <w:lang w:val="fr-FR"/>
        </w:rPr>
        <w:t xml:space="preserve"> 24030/14</w:t>
      </w:r>
      <w:r w:rsidR="00D569D5" w:rsidRPr="00EF6F04">
        <w:rPr>
          <w:lang w:val="fr-FR"/>
        </w:rPr>
        <w:t>, dépôt du 12 novembre 2014</w:t>
      </w:r>
      <w:r w:rsidR="00601698" w:rsidRPr="00EF6F04">
        <w:rPr>
          <w:lang w:val="fr-FR"/>
        </w:rPr>
        <w:t xml:space="preserve">), </w:t>
      </w:r>
      <w:r w:rsidR="00D569D5" w:rsidRPr="00EF6F04">
        <w:rPr>
          <w:lang w:val="fr-FR"/>
        </w:rPr>
        <w:t>de plus de deux ans (arrêt n</w:t>
      </w:r>
      <w:r w:rsidR="00D569D5" w:rsidRPr="00EF6F04">
        <w:rPr>
          <w:vertAlign w:val="superscript"/>
          <w:lang w:val="fr-FR"/>
        </w:rPr>
        <w:t>o</w:t>
      </w:r>
      <w:r w:rsidR="00D569D5" w:rsidRPr="00EF6F04">
        <w:rPr>
          <w:lang w:val="fr-FR"/>
        </w:rPr>
        <w:t xml:space="preserve"> 1652/2015, dépôt du 28 janvier 2015), </w:t>
      </w:r>
      <w:r w:rsidR="00601698" w:rsidRPr="00EF6F04">
        <w:rPr>
          <w:lang w:val="fr-FR"/>
        </w:rPr>
        <w:t>d</w:t>
      </w:r>
      <w:r w:rsidR="00EF6F04" w:rsidRPr="00EF6F04">
        <w:rPr>
          <w:lang w:val="fr-FR"/>
        </w:rPr>
        <w:t>’</w:t>
      </w:r>
      <w:r w:rsidR="00601698" w:rsidRPr="00EF6F04">
        <w:rPr>
          <w:lang w:val="fr-FR"/>
        </w:rPr>
        <w:t>environ 4 ans (arrêt n</w:t>
      </w:r>
      <w:r w:rsidR="00601698" w:rsidRPr="00EF6F04">
        <w:rPr>
          <w:vertAlign w:val="superscript"/>
          <w:lang w:val="fr-FR"/>
        </w:rPr>
        <w:t>o</w:t>
      </w:r>
      <w:r w:rsidR="00305F84" w:rsidRPr="00EF6F04">
        <w:rPr>
          <w:vertAlign w:val="superscript"/>
          <w:lang w:val="fr-FR"/>
        </w:rPr>
        <w:t> </w:t>
      </w:r>
      <w:r w:rsidR="00601698" w:rsidRPr="00EF6F04">
        <w:rPr>
          <w:lang w:val="fr-FR"/>
        </w:rPr>
        <w:t>24031/14</w:t>
      </w:r>
      <w:r w:rsidR="00D569D5" w:rsidRPr="00EF6F04">
        <w:rPr>
          <w:lang w:val="fr-FR"/>
        </w:rPr>
        <w:t xml:space="preserve">, </w:t>
      </w:r>
      <w:r w:rsidR="00D569D5" w:rsidRPr="00EF6F04">
        <w:rPr>
          <w:lang w:val="fr-FR"/>
        </w:rPr>
        <w:lastRenderedPageBreak/>
        <w:t>dépôt du 12 novembre 2014</w:t>
      </w:r>
      <w:r w:rsidR="00601698" w:rsidRPr="00EF6F04">
        <w:rPr>
          <w:lang w:val="fr-FR"/>
        </w:rPr>
        <w:t>), d</w:t>
      </w:r>
      <w:r w:rsidR="00EF6F04" w:rsidRPr="00EF6F04">
        <w:rPr>
          <w:lang w:val="fr-FR"/>
        </w:rPr>
        <w:t>’</w:t>
      </w:r>
      <w:r w:rsidR="00601698" w:rsidRPr="00EF6F04">
        <w:rPr>
          <w:lang w:val="fr-FR"/>
        </w:rPr>
        <w:t>environ douze ans (arrêt n</w:t>
      </w:r>
      <w:r w:rsidR="00601698" w:rsidRPr="00EF6F04">
        <w:rPr>
          <w:vertAlign w:val="superscript"/>
          <w:lang w:val="fr-FR"/>
        </w:rPr>
        <w:t>o</w:t>
      </w:r>
      <w:r w:rsidR="00305F84" w:rsidRPr="00EF6F04">
        <w:rPr>
          <w:lang w:val="fr-FR"/>
        </w:rPr>
        <w:t> </w:t>
      </w:r>
      <w:r w:rsidR="00601698" w:rsidRPr="00EF6F04">
        <w:rPr>
          <w:lang w:val="fr-FR"/>
        </w:rPr>
        <w:t>230</w:t>
      </w:r>
      <w:r w:rsidR="00BC1BE0" w:rsidRPr="00EF6F04">
        <w:rPr>
          <w:lang w:val="fr-FR"/>
        </w:rPr>
        <w:t>7</w:t>
      </w:r>
      <w:r w:rsidR="00601698" w:rsidRPr="00EF6F04">
        <w:rPr>
          <w:lang w:val="fr-FR"/>
        </w:rPr>
        <w:t>/15</w:t>
      </w:r>
      <w:r w:rsidR="00D569D5" w:rsidRPr="00EF6F04">
        <w:rPr>
          <w:lang w:val="fr-FR"/>
        </w:rPr>
        <w:t>, dépôt du 6 février 2015</w:t>
      </w:r>
      <w:r w:rsidR="00601698" w:rsidRPr="00EF6F04">
        <w:rPr>
          <w:lang w:val="fr-FR"/>
        </w:rPr>
        <w:t>).</w:t>
      </w:r>
    </w:p>
    <w:p w:rsidR="006317C1" w:rsidRPr="00EF6F04" w:rsidRDefault="00246193"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59</w:t>
      </w:r>
      <w:r w:rsidRPr="00EF6F04">
        <w:rPr>
          <w:lang w:val="fr-FR"/>
        </w:rPr>
        <w:fldChar w:fldCharType="end"/>
      </w:r>
      <w:r w:rsidRPr="00EF6F04">
        <w:rPr>
          <w:lang w:val="fr-FR"/>
        </w:rPr>
        <w:t>.  </w:t>
      </w:r>
      <w:r w:rsidR="00546510" w:rsidRPr="00EF6F04">
        <w:rPr>
          <w:lang w:val="fr-FR"/>
        </w:rPr>
        <w:t xml:space="preserve">La Cour </w:t>
      </w:r>
      <w:r w:rsidR="008B1E64" w:rsidRPr="00EF6F04">
        <w:rPr>
          <w:lang w:val="fr-FR"/>
        </w:rPr>
        <w:t>s</w:t>
      </w:r>
      <w:r w:rsidR="00EF6F04" w:rsidRPr="00EF6F04">
        <w:rPr>
          <w:lang w:val="fr-FR"/>
        </w:rPr>
        <w:t>’</w:t>
      </w:r>
      <w:r w:rsidR="008B1E64" w:rsidRPr="00EF6F04">
        <w:rPr>
          <w:lang w:val="fr-FR"/>
        </w:rPr>
        <w:t>est</w:t>
      </w:r>
      <w:r w:rsidR="00546510" w:rsidRPr="00EF6F04">
        <w:rPr>
          <w:lang w:val="fr-FR"/>
        </w:rPr>
        <w:t xml:space="preserve"> également </w:t>
      </w:r>
      <w:r w:rsidR="008B1E64" w:rsidRPr="00EF6F04">
        <w:rPr>
          <w:lang w:val="fr-FR"/>
        </w:rPr>
        <w:t>penchée sur la pratique</w:t>
      </w:r>
      <w:r w:rsidR="00546510" w:rsidRPr="00EF6F04">
        <w:rPr>
          <w:lang w:val="fr-FR"/>
        </w:rPr>
        <w:t xml:space="preserve"> des tribunaux administratifs régionaux. </w:t>
      </w:r>
      <w:r w:rsidR="005679B1" w:rsidRPr="00EF6F04">
        <w:rPr>
          <w:lang w:val="fr-FR"/>
        </w:rPr>
        <w:t>À</w:t>
      </w:r>
      <w:r w:rsidR="00546510" w:rsidRPr="00EF6F04">
        <w:rPr>
          <w:lang w:val="fr-FR"/>
        </w:rPr>
        <w:t xml:space="preserve"> cet égard, </w:t>
      </w:r>
      <w:r w:rsidR="005679B1" w:rsidRPr="00EF6F04">
        <w:rPr>
          <w:lang w:val="fr-FR"/>
        </w:rPr>
        <w:t xml:space="preserve">elle relève que </w:t>
      </w:r>
      <w:r w:rsidR="00546510" w:rsidRPr="00EF6F04">
        <w:rPr>
          <w:lang w:val="fr-FR"/>
        </w:rPr>
        <w:t>le</w:t>
      </w:r>
      <w:r w:rsidR="00F704B1" w:rsidRPr="00EF6F04">
        <w:rPr>
          <w:lang w:val="fr-FR"/>
        </w:rPr>
        <w:t xml:space="preserve"> traitement d</w:t>
      </w:r>
      <w:r w:rsidRPr="00EF6F04">
        <w:rPr>
          <w:lang w:val="fr-FR"/>
        </w:rPr>
        <w:t xml:space="preserve">es demandes </w:t>
      </w:r>
      <w:r w:rsidR="00546510" w:rsidRPr="00EF6F04">
        <w:rPr>
          <w:lang w:val="fr-FR"/>
        </w:rPr>
        <w:t xml:space="preserve">semble dépendre </w:t>
      </w:r>
      <w:r w:rsidR="00F704B1" w:rsidRPr="00EF6F04">
        <w:rPr>
          <w:lang w:val="fr-FR"/>
        </w:rPr>
        <w:t>de manière aléatoire</w:t>
      </w:r>
      <w:r w:rsidRPr="00EF6F04">
        <w:rPr>
          <w:lang w:val="fr-FR"/>
        </w:rPr>
        <w:t xml:space="preserve"> de la politique </w:t>
      </w:r>
      <w:r w:rsidR="00F704B1" w:rsidRPr="00EF6F04">
        <w:rPr>
          <w:lang w:val="fr-FR"/>
        </w:rPr>
        <w:t xml:space="preserve">de priorités </w:t>
      </w:r>
      <w:r w:rsidRPr="00EF6F04">
        <w:rPr>
          <w:lang w:val="fr-FR"/>
        </w:rPr>
        <w:t xml:space="preserve">de chaque </w:t>
      </w:r>
      <w:r w:rsidR="00546510" w:rsidRPr="00EF6F04">
        <w:rPr>
          <w:lang w:val="fr-FR"/>
        </w:rPr>
        <w:t>TAR</w:t>
      </w:r>
      <w:r w:rsidR="008D3BCA" w:rsidRPr="00EF6F04">
        <w:rPr>
          <w:lang w:val="fr-FR"/>
        </w:rPr>
        <w:t>. À titre d</w:t>
      </w:r>
      <w:r w:rsidR="00EF6F04" w:rsidRPr="00EF6F04">
        <w:rPr>
          <w:lang w:val="fr-FR"/>
        </w:rPr>
        <w:t>’</w:t>
      </w:r>
      <w:r w:rsidR="008D3BCA" w:rsidRPr="00EF6F04">
        <w:rPr>
          <w:lang w:val="fr-FR"/>
        </w:rPr>
        <w:t>exemple, dans une</w:t>
      </w:r>
      <w:r w:rsidRPr="00EF6F04">
        <w:rPr>
          <w:lang w:val="fr-FR"/>
        </w:rPr>
        <w:t xml:space="preserve"> procédure devant</w:t>
      </w:r>
      <w:r w:rsidR="007E1CB6" w:rsidRPr="00EF6F04">
        <w:rPr>
          <w:lang w:val="fr-FR"/>
        </w:rPr>
        <w:t xml:space="preserve"> le TAR du Latium (</w:t>
      </w:r>
      <w:r w:rsidR="008B1E64" w:rsidRPr="00EF6F04">
        <w:rPr>
          <w:lang w:val="fr-FR"/>
        </w:rPr>
        <w:t>RG</w:t>
      </w:r>
      <w:r w:rsidR="007E1CB6" w:rsidRPr="00EF6F04">
        <w:rPr>
          <w:lang w:val="fr-FR"/>
        </w:rPr>
        <w:t xml:space="preserve"> n</w:t>
      </w:r>
      <w:r w:rsidR="006317C1" w:rsidRPr="00EF6F04">
        <w:rPr>
          <w:vertAlign w:val="superscript"/>
          <w:lang w:val="fr-FR"/>
        </w:rPr>
        <w:t>o</w:t>
      </w:r>
      <w:r w:rsidR="007E1CB6" w:rsidRPr="00EF6F04">
        <w:rPr>
          <w:lang w:val="fr-FR"/>
        </w:rPr>
        <w:t xml:space="preserve"> 8937/95), l</w:t>
      </w:r>
      <w:r w:rsidR="00F704B1" w:rsidRPr="00EF6F04">
        <w:rPr>
          <w:lang w:val="fr-FR"/>
        </w:rPr>
        <w:t>a</w:t>
      </w:r>
      <w:r w:rsidR="007E1CB6" w:rsidRPr="00EF6F04">
        <w:rPr>
          <w:lang w:val="fr-FR"/>
        </w:rPr>
        <w:t xml:space="preserve"> </w:t>
      </w:r>
      <w:r w:rsidR="00F704B1" w:rsidRPr="00EF6F04">
        <w:rPr>
          <w:lang w:val="fr-FR"/>
        </w:rPr>
        <w:t>partie demanderesse</w:t>
      </w:r>
      <w:r w:rsidR="007E1CB6" w:rsidRPr="00EF6F04">
        <w:rPr>
          <w:lang w:val="fr-FR"/>
        </w:rPr>
        <w:t xml:space="preserve"> a déposé une demande de fixation en urgence de la date de l</w:t>
      </w:r>
      <w:r w:rsidR="00EF6F04" w:rsidRPr="00EF6F04">
        <w:rPr>
          <w:lang w:val="fr-FR"/>
        </w:rPr>
        <w:t>’</w:t>
      </w:r>
      <w:r w:rsidR="007E1CB6" w:rsidRPr="00EF6F04">
        <w:rPr>
          <w:lang w:val="fr-FR"/>
        </w:rPr>
        <w:t>audience le 7 juillet 1995. L</w:t>
      </w:r>
      <w:r w:rsidR="00EF6F04" w:rsidRPr="00EF6F04">
        <w:rPr>
          <w:lang w:val="fr-FR"/>
        </w:rPr>
        <w:t>’</w:t>
      </w:r>
      <w:r w:rsidR="007E1CB6" w:rsidRPr="00EF6F04">
        <w:rPr>
          <w:lang w:val="fr-FR"/>
        </w:rPr>
        <w:t xml:space="preserve">audience de discussion a eu lieu le 9 décembre 2010. </w:t>
      </w:r>
      <w:r w:rsidR="00F704B1" w:rsidRPr="00EF6F04">
        <w:rPr>
          <w:lang w:val="fr-FR"/>
        </w:rPr>
        <w:t>D</w:t>
      </w:r>
      <w:r w:rsidR="007E1CB6" w:rsidRPr="00EF6F04">
        <w:rPr>
          <w:lang w:val="fr-FR"/>
        </w:rPr>
        <w:t>evant</w:t>
      </w:r>
      <w:r w:rsidRPr="00EF6F04">
        <w:rPr>
          <w:lang w:val="fr-FR"/>
        </w:rPr>
        <w:t xml:space="preserve"> le TAR de Campanie</w:t>
      </w:r>
      <w:r w:rsidR="00F0289A" w:rsidRPr="00EF6F04">
        <w:rPr>
          <w:lang w:val="fr-FR"/>
        </w:rPr>
        <w:t xml:space="preserve"> (</w:t>
      </w:r>
      <w:r w:rsidRPr="00EF6F04">
        <w:rPr>
          <w:lang w:val="fr-FR"/>
        </w:rPr>
        <w:t>RG</w:t>
      </w:r>
      <w:r w:rsidR="00F749C2" w:rsidRPr="00EF6F04">
        <w:rPr>
          <w:lang w:val="fr-FR"/>
        </w:rPr>
        <w:t> </w:t>
      </w:r>
      <w:r w:rsidRPr="00EF6F04">
        <w:rPr>
          <w:lang w:val="fr-FR"/>
        </w:rPr>
        <w:t>n</w:t>
      </w:r>
      <w:r w:rsidR="006317C1" w:rsidRPr="00EF6F04">
        <w:rPr>
          <w:vertAlign w:val="superscript"/>
          <w:lang w:val="fr-FR"/>
        </w:rPr>
        <w:t>o</w:t>
      </w:r>
      <w:r w:rsidRPr="00EF6F04">
        <w:rPr>
          <w:lang w:val="fr-FR"/>
        </w:rPr>
        <w:t xml:space="preserve"> 6183/97</w:t>
      </w:r>
      <w:r w:rsidR="00F0289A" w:rsidRPr="00EF6F04">
        <w:rPr>
          <w:lang w:val="fr-FR"/>
        </w:rPr>
        <w:t>)</w:t>
      </w:r>
      <w:r w:rsidRPr="00EF6F04">
        <w:rPr>
          <w:lang w:val="fr-FR"/>
        </w:rPr>
        <w:t>, l</w:t>
      </w:r>
      <w:r w:rsidR="00F704B1" w:rsidRPr="00EF6F04">
        <w:rPr>
          <w:lang w:val="fr-FR"/>
        </w:rPr>
        <w:t>a partie a déposé deux demandes</w:t>
      </w:r>
      <w:r w:rsidR="00F0289A" w:rsidRPr="00EF6F04">
        <w:rPr>
          <w:lang w:val="fr-FR"/>
        </w:rPr>
        <w:t>, le 18 mars 2008 et le 30 mars 2009</w:t>
      </w:r>
      <w:r w:rsidR="00F704B1" w:rsidRPr="00EF6F04">
        <w:rPr>
          <w:lang w:val="fr-FR"/>
        </w:rPr>
        <w:t xml:space="preserve"> et</w:t>
      </w:r>
      <w:r w:rsidR="00F0289A" w:rsidRPr="00EF6F04">
        <w:rPr>
          <w:lang w:val="fr-FR"/>
        </w:rPr>
        <w:t xml:space="preserve"> </w:t>
      </w:r>
      <w:r w:rsidR="00F704B1" w:rsidRPr="00EF6F04">
        <w:rPr>
          <w:lang w:val="fr-FR"/>
        </w:rPr>
        <w:t>l</w:t>
      </w:r>
      <w:r w:rsidR="00EF6F04" w:rsidRPr="00EF6F04">
        <w:rPr>
          <w:lang w:val="fr-FR"/>
        </w:rPr>
        <w:t>’</w:t>
      </w:r>
      <w:r w:rsidR="00F0289A" w:rsidRPr="00EF6F04">
        <w:rPr>
          <w:lang w:val="fr-FR"/>
        </w:rPr>
        <w:t xml:space="preserve">audience de discussion a eu lieu le 20 mai 2010. </w:t>
      </w:r>
      <w:r w:rsidR="00F704B1" w:rsidRPr="00EF6F04">
        <w:rPr>
          <w:lang w:val="fr-FR"/>
        </w:rPr>
        <w:t>Toujours</w:t>
      </w:r>
      <w:r w:rsidR="00AB68FB" w:rsidRPr="00EF6F04">
        <w:rPr>
          <w:lang w:val="fr-FR"/>
        </w:rPr>
        <w:t xml:space="preserve"> </w:t>
      </w:r>
      <w:r w:rsidR="00F0289A" w:rsidRPr="00EF6F04">
        <w:rPr>
          <w:lang w:val="fr-FR"/>
        </w:rPr>
        <w:t>devant</w:t>
      </w:r>
      <w:r w:rsidRPr="00EF6F04">
        <w:rPr>
          <w:lang w:val="fr-FR"/>
        </w:rPr>
        <w:t xml:space="preserve"> le TAR de Campanie</w:t>
      </w:r>
      <w:r w:rsidR="004D76EC" w:rsidRPr="00EF6F04">
        <w:rPr>
          <w:lang w:val="fr-FR"/>
        </w:rPr>
        <w:t xml:space="preserve"> (</w:t>
      </w:r>
      <w:r w:rsidRPr="00EF6F04">
        <w:rPr>
          <w:lang w:val="fr-FR"/>
        </w:rPr>
        <w:t>RG n</w:t>
      </w:r>
      <w:r w:rsidR="006317C1" w:rsidRPr="00EF6F04">
        <w:rPr>
          <w:vertAlign w:val="superscript"/>
          <w:lang w:val="fr-FR"/>
        </w:rPr>
        <w:t>o</w:t>
      </w:r>
      <w:r w:rsidRPr="00EF6F04">
        <w:rPr>
          <w:lang w:val="fr-FR"/>
        </w:rPr>
        <w:t xml:space="preserve"> 8813/00</w:t>
      </w:r>
      <w:r w:rsidR="004D76EC" w:rsidRPr="00EF6F04">
        <w:rPr>
          <w:lang w:val="fr-FR"/>
        </w:rPr>
        <w:t>)</w:t>
      </w:r>
      <w:r w:rsidRPr="00EF6F04">
        <w:rPr>
          <w:lang w:val="fr-FR"/>
        </w:rPr>
        <w:t xml:space="preserve">, la partie a </w:t>
      </w:r>
      <w:r w:rsidR="00F704B1" w:rsidRPr="00EF6F04">
        <w:rPr>
          <w:lang w:val="fr-FR"/>
        </w:rPr>
        <w:t>saisi à deux reprises le tribunal</w:t>
      </w:r>
      <w:r w:rsidR="004D76EC" w:rsidRPr="00EF6F04">
        <w:rPr>
          <w:lang w:val="fr-FR"/>
        </w:rPr>
        <w:t xml:space="preserve">, le 9 avril 2008 et le 17 avril 2009, </w:t>
      </w:r>
      <w:r w:rsidR="008D3BCA" w:rsidRPr="00EF6F04">
        <w:rPr>
          <w:lang w:val="fr-FR"/>
        </w:rPr>
        <w:t>avant d</w:t>
      </w:r>
      <w:r w:rsidR="00EF6F04" w:rsidRPr="00EF6F04">
        <w:rPr>
          <w:lang w:val="fr-FR"/>
        </w:rPr>
        <w:t>’</w:t>
      </w:r>
      <w:r w:rsidR="008D3BCA" w:rsidRPr="00EF6F04">
        <w:rPr>
          <w:lang w:val="fr-FR"/>
        </w:rPr>
        <w:t>obtenir la fixation de l</w:t>
      </w:r>
      <w:r w:rsidR="00EF6F04" w:rsidRPr="00EF6F04">
        <w:rPr>
          <w:lang w:val="fr-FR"/>
        </w:rPr>
        <w:t>’</w:t>
      </w:r>
      <w:r w:rsidR="008D3BCA" w:rsidRPr="00EF6F04">
        <w:rPr>
          <w:lang w:val="fr-FR"/>
        </w:rPr>
        <w:t>a</w:t>
      </w:r>
      <w:r w:rsidR="004D76EC" w:rsidRPr="00EF6F04">
        <w:rPr>
          <w:lang w:val="fr-FR"/>
        </w:rPr>
        <w:t>udience de discussion</w:t>
      </w:r>
      <w:r w:rsidR="00753AD3" w:rsidRPr="00EF6F04">
        <w:rPr>
          <w:lang w:val="fr-FR"/>
        </w:rPr>
        <w:t xml:space="preserve"> pour</w:t>
      </w:r>
      <w:r w:rsidR="00895B92" w:rsidRPr="00EF6F04">
        <w:rPr>
          <w:lang w:val="fr-FR"/>
        </w:rPr>
        <w:t xml:space="preserve"> </w:t>
      </w:r>
      <w:r w:rsidR="004D76EC" w:rsidRPr="00EF6F04">
        <w:rPr>
          <w:lang w:val="fr-FR"/>
        </w:rPr>
        <w:t>le 3 juin 2010</w:t>
      </w:r>
      <w:r w:rsidR="008D3BCA" w:rsidRPr="00EF6F04">
        <w:rPr>
          <w:lang w:val="fr-FR"/>
        </w:rPr>
        <w:t>.</w:t>
      </w:r>
    </w:p>
    <w:p w:rsidR="008D3BCA" w:rsidRPr="00EF6F04" w:rsidRDefault="00D569D5"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60</w:t>
      </w:r>
      <w:r w:rsidRPr="00EF6F04">
        <w:rPr>
          <w:lang w:val="fr-FR"/>
        </w:rPr>
        <w:fldChar w:fldCharType="end"/>
      </w:r>
      <w:r w:rsidRPr="00EF6F04">
        <w:rPr>
          <w:lang w:val="fr-FR"/>
        </w:rPr>
        <w:t>.  Compte tenu de ces éléments, la Cour relève qu</w:t>
      </w:r>
      <w:r w:rsidR="00EF6F04" w:rsidRPr="00EF6F04">
        <w:rPr>
          <w:lang w:val="fr-FR"/>
        </w:rPr>
        <w:t>’</w:t>
      </w:r>
      <w:r w:rsidR="00AD606E" w:rsidRPr="00EF6F04">
        <w:rPr>
          <w:lang w:val="fr-FR"/>
        </w:rPr>
        <w:t>il ne ressort ni d</w:t>
      </w:r>
      <w:r w:rsidR="00AA365E" w:rsidRPr="00EF6F04">
        <w:rPr>
          <w:lang w:val="fr-FR"/>
        </w:rPr>
        <w:t>u libellé</w:t>
      </w:r>
      <w:r w:rsidR="00AD606E" w:rsidRPr="00EF6F04">
        <w:rPr>
          <w:lang w:val="fr-FR"/>
        </w:rPr>
        <w:t xml:space="preserve"> </w:t>
      </w:r>
      <w:r w:rsidR="00551272" w:rsidRPr="00EF6F04">
        <w:rPr>
          <w:lang w:val="fr-FR"/>
        </w:rPr>
        <w:t>des deux textes mentionnés (voir paragraphes 5</w:t>
      </w:r>
      <w:r w:rsidR="00750411" w:rsidRPr="00EF6F04">
        <w:rPr>
          <w:lang w:val="fr-FR"/>
        </w:rPr>
        <w:t>4</w:t>
      </w:r>
      <w:r w:rsidR="00551272" w:rsidRPr="00EF6F04">
        <w:rPr>
          <w:lang w:val="fr-FR"/>
        </w:rPr>
        <w:t xml:space="preserve"> et 5</w:t>
      </w:r>
      <w:r w:rsidR="00750411" w:rsidRPr="00EF6F04">
        <w:rPr>
          <w:lang w:val="fr-FR"/>
        </w:rPr>
        <w:t>5</w:t>
      </w:r>
      <w:r w:rsidR="00551272" w:rsidRPr="00EF6F04">
        <w:rPr>
          <w:lang w:val="fr-FR"/>
        </w:rPr>
        <w:t>)</w:t>
      </w:r>
      <w:r w:rsidRPr="00EF6F04">
        <w:rPr>
          <w:lang w:val="fr-FR"/>
        </w:rPr>
        <w:t>,</w:t>
      </w:r>
      <w:r w:rsidR="005A1159" w:rsidRPr="00EF6F04">
        <w:rPr>
          <w:lang w:val="fr-FR"/>
        </w:rPr>
        <w:t xml:space="preserve"> </w:t>
      </w:r>
      <w:r w:rsidRPr="00EF6F04">
        <w:rPr>
          <w:lang w:val="fr-FR"/>
        </w:rPr>
        <w:t>ni de la pratique judiciaire qu</w:t>
      </w:r>
      <w:r w:rsidR="00EF6F04" w:rsidRPr="00EF6F04">
        <w:rPr>
          <w:lang w:val="fr-FR"/>
        </w:rPr>
        <w:t>’</w:t>
      </w:r>
      <w:r w:rsidRPr="00EF6F04">
        <w:rPr>
          <w:lang w:val="fr-FR"/>
        </w:rPr>
        <w:t xml:space="preserve">elle a </w:t>
      </w:r>
      <w:r w:rsidR="00D96EAC" w:rsidRPr="00EF6F04">
        <w:rPr>
          <w:lang w:val="fr-FR"/>
        </w:rPr>
        <w:t>dû</w:t>
      </w:r>
      <w:r w:rsidRPr="00EF6F04">
        <w:rPr>
          <w:lang w:val="fr-FR"/>
        </w:rPr>
        <w:t xml:space="preserve"> </w:t>
      </w:r>
      <w:r w:rsidR="005A1159" w:rsidRPr="00EF6F04">
        <w:rPr>
          <w:lang w:val="fr-FR"/>
        </w:rPr>
        <w:t>apprécier</w:t>
      </w:r>
      <w:r w:rsidR="00D96EAC" w:rsidRPr="00EF6F04">
        <w:rPr>
          <w:lang w:val="fr-FR"/>
        </w:rPr>
        <w:t xml:space="preserve"> de son propre chef</w:t>
      </w:r>
      <w:r w:rsidR="00EB51EA" w:rsidRPr="00EF6F04">
        <w:rPr>
          <w:lang w:val="fr-FR"/>
        </w:rPr>
        <w:t>,</w:t>
      </w:r>
      <w:r w:rsidRPr="00EF6F04">
        <w:rPr>
          <w:lang w:val="fr-FR"/>
        </w:rPr>
        <w:t xml:space="preserve"> que la demande de fixation en urgence de l</w:t>
      </w:r>
      <w:r w:rsidR="008D3BCA" w:rsidRPr="00EF6F04">
        <w:rPr>
          <w:lang w:val="fr-FR"/>
        </w:rPr>
        <w:t>a date de l</w:t>
      </w:r>
      <w:r w:rsidR="00EF6F04" w:rsidRPr="00EF6F04">
        <w:rPr>
          <w:lang w:val="fr-FR"/>
        </w:rPr>
        <w:t>’</w:t>
      </w:r>
      <w:r w:rsidRPr="00EF6F04">
        <w:rPr>
          <w:lang w:val="fr-FR"/>
        </w:rPr>
        <w:t xml:space="preserve">audience puisse </w:t>
      </w:r>
      <w:r w:rsidR="00D96EAC" w:rsidRPr="00EF6F04">
        <w:rPr>
          <w:lang w:val="fr-FR"/>
        </w:rPr>
        <w:t xml:space="preserve">efficacement </w:t>
      </w:r>
      <w:r w:rsidRPr="00EF6F04">
        <w:rPr>
          <w:lang w:val="fr-FR"/>
        </w:rPr>
        <w:t>hâter la prise d</w:t>
      </w:r>
      <w:r w:rsidR="00EF6F04" w:rsidRPr="00EF6F04">
        <w:rPr>
          <w:lang w:val="fr-FR"/>
        </w:rPr>
        <w:t>’</w:t>
      </w:r>
      <w:r w:rsidR="008D3BCA" w:rsidRPr="00EF6F04">
        <w:rPr>
          <w:lang w:val="fr-FR"/>
        </w:rPr>
        <w:t>une</w:t>
      </w:r>
      <w:r w:rsidRPr="00EF6F04">
        <w:rPr>
          <w:lang w:val="fr-FR"/>
        </w:rPr>
        <w:t xml:space="preserve"> décision sur l</w:t>
      </w:r>
      <w:r w:rsidR="00EF6F04" w:rsidRPr="00EF6F04">
        <w:rPr>
          <w:lang w:val="fr-FR"/>
        </w:rPr>
        <w:t>’</w:t>
      </w:r>
      <w:r w:rsidRPr="00EF6F04">
        <w:rPr>
          <w:lang w:val="fr-FR"/>
        </w:rPr>
        <w:t xml:space="preserve">affaire dont </w:t>
      </w:r>
      <w:r w:rsidR="00ED063B" w:rsidRPr="00EF6F04">
        <w:rPr>
          <w:lang w:val="fr-FR"/>
        </w:rPr>
        <w:t xml:space="preserve">le </w:t>
      </w:r>
      <w:r w:rsidR="00534661" w:rsidRPr="00EF6F04">
        <w:rPr>
          <w:lang w:val="fr-FR"/>
        </w:rPr>
        <w:t>tribunal</w:t>
      </w:r>
      <w:r w:rsidRPr="00EF6F04">
        <w:rPr>
          <w:lang w:val="fr-FR"/>
        </w:rPr>
        <w:t xml:space="preserve"> est saisi</w:t>
      </w:r>
      <w:r w:rsidR="00AA2C28" w:rsidRPr="00EF6F04">
        <w:rPr>
          <w:lang w:val="fr-FR"/>
        </w:rPr>
        <w:t>. La Cour constate</w:t>
      </w:r>
      <w:r w:rsidR="00551272" w:rsidRPr="00EF6F04">
        <w:rPr>
          <w:lang w:val="fr-FR"/>
        </w:rPr>
        <w:t>,</w:t>
      </w:r>
      <w:r w:rsidR="00AA2C28" w:rsidRPr="00EF6F04">
        <w:rPr>
          <w:lang w:val="fr-FR"/>
        </w:rPr>
        <w:t xml:space="preserve"> en outre</w:t>
      </w:r>
      <w:r w:rsidR="00551272" w:rsidRPr="00EF6F04">
        <w:rPr>
          <w:lang w:val="fr-FR"/>
        </w:rPr>
        <w:t>,</w:t>
      </w:r>
      <w:r w:rsidRPr="00EF6F04">
        <w:rPr>
          <w:lang w:val="fr-FR"/>
        </w:rPr>
        <w:t xml:space="preserve"> qu</w:t>
      </w:r>
      <w:r w:rsidR="00EF6F04" w:rsidRPr="00EF6F04">
        <w:rPr>
          <w:lang w:val="fr-FR"/>
        </w:rPr>
        <w:t>’</w:t>
      </w:r>
      <w:r w:rsidRPr="00EF6F04">
        <w:rPr>
          <w:lang w:val="fr-FR"/>
        </w:rPr>
        <w:t>aucune condition visant à garantir l</w:t>
      </w:r>
      <w:r w:rsidR="00EF6F04" w:rsidRPr="00EF6F04">
        <w:rPr>
          <w:lang w:val="fr-FR"/>
        </w:rPr>
        <w:t>’</w:t>
      </w:r>
      <w:r w:rsidRPr="00EF6F04">
        <w:rPr>
          <w:lang w:val="fr-FR"/>
        </w:rPr>
        <w:t>examen d</w:t>
      </w:r>
      <w:r w:rsidR="00EF6F04" w:rsidRPr="00EF6F04">
        <w:rPr>
          <w:lang w:val="fr-FR"/>
        </w:rPr>
        <w:t>’</w:t>
      </w:r>
      <w:r w:rsidRPr="00EF6F04">
        <w:rPr>
          <w:lang w:val="fr-FR"/>
        </w:rPr>
        <w:t>une telle</w:t>
      </w:r>
      <w:r w:rsidR="008D3BCA" w:rsidRPr="00EF6F04">
        <w:rPr>
          <w:lang w:val="fr-FR"/>
        </w:rPr>
        <w:t xml:space="preserve"> demande n</w:t>
      </w:r>
      <w:r w:rsidR="00EF6F04" w:rsidRPr="00EF6F04">
        <w:rPr>
          <w:lang w:val="fr-FR"/>
        </w:rPr>
        <w:t>’</w:t>
      </w:r>
      <w:r w:rsidR="008D3BCA" w:rsidRPr="00EF6F04">
        <w:rPr>
          <w:lang w:val="fr-FR"/>
        </w:rPr>
        <w:t>est prévue par le système national</w:t>
      </w:r>
      <w:r w:rsidRPr="00EF6F04">
        <w:rPr>
          <w:lang w:val="fr-FR"/>
        </w:rPr>
        <w:t xml:space="preserve"> (</w:t>
      </w:r>
      <w:r w:rsidR="00DC5527" w:rsidRPr="00EF6F04">
        <w:rPr>
          <w:lang w:val="fr-FR"/>
        </w:rPr>
        <w:t xml:space="preserve">voir, </w:t>
      </w:r>
      <w:r w:rsidR="00DC5527" w:rsidRPr="00EF6F04">
        <w:rPr>
          <w:i/>
          <w:lang w:val="fr-FR"/>
        </w:rPr>
        <w:t>a contrario</w:t>
      </w:r>
      <w:r w:rsidR="00DC5527" w:rsidRPr="00EF6F04">
        <w:rPr>
          <w:lang w:val="fr-FR"/>
        </w:rPr>
        <w:t xml:space="preserve">, </w:t>
      </w:r>
      <w:r w:rsidR="00AF5649" w:rsidRPr="00EF6F04">
        <w:rPr>
          <w:i/>
          <w:lang w:val="fr-FR"/>
        </w:rPr>
        <w:t>Techniki </w:t>
      </w:r>
      <w:r w:rsidR="00DC5527" w:rsidRPr="00EF6F04">
        <w:rPr>
          <w:i/>
          <w:lang w:val="fr-FR"/>
        </w:rPr>
        <w:t>Olympiaki c.</w:t>
      </w:r>
      <w:r w:rsidR="00DC5527" w:rsidRPr="00EF6F04">
        <w:rPr>
          <w:lang w:val="fr-FR"/>
        </w:rPr>
        <w:t xml:space="preserve"> </w:t>
      </w:r>
      <w:r w:rsidR="00DC5527" w:rsidRPr="00EF6F04">
        <w:rPr>
          <w:i/>
          <w:lang w:val="fr-FR"/>
        </w:rPr>
        <w:t>Grèce</w:t>
      </w:r>
      <w:r w:rsidR="00DC5527" w:rsidRPr="00EF6F04">
        <w:rPr>
          <w:lang w:val="fr-FR"/>
        </w:rPr>
        <w:t xml:space="preserve"> (</w:t>
      </w:r>
      <w:r w:rsidR="00E6681E" w:rsidRPr="00EF6F04">
        <w:rPr>
          <w:lang w:val="fr-FR"/>
        </w:rPr>
        <w:t>déc.</w:t>
      </w:r>
      <w:r w:rsidR="00DC5527" w:rsidRPr="00EF6F04">
        <w:rPr>
          <w:lang w:val="fr-FR"/>
        </w:rPr>
        <w:t>), n</w:t>
      </w:r>
      <w:r w:rsidR="006317C1" w:rsidRPr="00EF6F04">
        <w:rPr>
          <w:vertAlign w:val="superscript"/>
          <w:lang w:val="fr-FR"/>
        </w:rPr>
        <w:t>o</w:t>
      </w:r>
      <w:r w:rsidR="005679B1" w:rsidRPr="00EF6F04">
        <w:rPr>
          <w:lang w:val="fr-FR"/>
        </w:rPr>
        <w:t> </w:t>
      </w:r>
      <w:r w:rsidR="00DC5527" w:rsidRPr="00EF6F04">
        <w:rPr>
          <w:lang w:val="fr-FR"/>
        </w:rPr>
        <w:t>40547/10, 1</w:t>
      </w:r>
      <w:r w:rsidR="00DC5527" w:rsidRPr="00EF6F04">
        <w:rPr>
          <w:vertAlign w:val="superscript"/>
          <w:lang w:val="fr-FR"/>
        </w:rPr>
        <w:t>er</w:t>
      </w:r>
      <w:r w:rsidR="00DC5527" w:rsidRPr="00EF6F04">
        <w:rPr>
          <w:lang w:val="fr-FR"/>
        </w:rPr>
        <w:t xml:space="preserve"> octobre 2013</w:t>
      </w:r>
      <w:r w:rsidR="00DD09FD" w:rsidRPr="00EF6F04">
        <w:rPr>
          <w:lang w:val="fr-FR"/>
        </w:rPr>
        <w:t xml:space="preserve"> et </w:t>
      </w:r>
      <w:r w:rsidR="00DD09FD" w:rsidRPr="00EF6F04">
        <w:rPr>
          <w:i/>
          <w:lang w:val="fr-FR"/>
        </w:rPr>
        <w:t>Grzinčič c. Slovénie</w:t>
      </w:r>
      <w:r w:rsidR="00DD09FD" w:rsidRPr="00EF6F04">
        <w:rPr>
          <w:lang w:val="fr-FR"/>
        </w:rPr>
        <w:t>, n</w:t>
      </w:r>
      <w:r w:rsidR="00DD09FD" w:rsidRPr="00EF6F04">
        <w:rPr>
          <w:vertAlign w:val="superscript"/>
          <w:lang w:val="fr-FR"/>
        </w:rPr>
        <w:t xml:space="preserve">o </w:t>
      </w:r>
      <w:r w:rsidR="00DD09FD" w:rsidRPr="00EF6F04">
        <w:rPr>
          <w:lang w:val="fr-FR"/>
        </w:rPr>
        <w:t>26867/02, § 87-88, 3 mai 2007</w:t>
      </w:r>
      <w:r w:rsidR="00DC5527" w:rsidRPr="00EF6F04">
        <w:rPr>
          <w:lang w:val="fr-FR"/>
        </w:rPr>
        <w:t xml:space="preserve">; voir aussi </w:t>
      </w:r>
      <w:r w:rsidR="00ED063B" w:rsidRPr="00EF6F04">
        <w:rPr>
          <w:i/>
          <w:lang w:val="fr-FR"/>
        </w:rPr>
        <w:t>Xynos précité</w:t>
      </w:r>
      <w:r w:rsidR="00ED063B" w:rsidRPr="00EF6F04">
        <w:rPr>
          <w:snapToGrid w:val="0"/>
          <w:lang w:val="fr-FR"/>
        </w:rPr>
        <w:t>, § 38</w:t>
      </w:r>
      <w:r w:rsidR="00DD09FD" w:rsidRPr="00EF6F04">
        <w:rPr>
          <w:snapToGrid w:val="0"/>
          <w:lang w:val="fr-FR"/>
        </w:rPr>
        <w:t xml:space="preserve"> et </w:t>
      </w:r>
      <w:r w:rsidR="00DD09FD" w:rsidRPr="00EF6F04">
        <w:rPr>
          <w:i/>
          <w:szCs w:val="24"/>
          <w:lang w:val="fr-FR"/>
        </w:rPr>
        <w:t>Sürmeli précité</w:t>
      </w:r>
      <w:r w:rsidR="00DD09FD" w:rsidRPr="00EF6F04">
        <w:rPr>
          <w:szCs w:val="24"/>
          <w:lang w:val="fr-FR"/>
        </w:rPr>
        <w:t>, §§ 106-108</w:t>
      </w:r>
      <w:r w:rsidR="00ED063B" w:rsidRPr="00EF6F04">
        <w:rPr>
          <w:snapToGrid w:val="0"/>
          <w:lang w:val="fr-FR"/>
        </w:rPr>
        <w:t>)</w:t>
      </w:r>
      <w:r w:rsidR="00DD09FD" w:rsidRPr="00EF6F04">
        <w:rPr>
          <w:lang w:val="fr-FR"/>
        </w:rPr>
        <w:t>.</w:t>
      </w:r>
    </w:p>
    <w:p w:rsidR="00BD5DB4" w:rsidRPr="00EF6F04" w:rsidRDefault="008D3BCA"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61</w:t>
      </w:r>
      <w:r w:rsidRPr="00EF6F04">
        <w:rPr>
          <w:lang w:val="fr-FR"/>
        </w:rPr>
        <w:fldChar w:fldCharType="end"/>
      </w:r>
      <w:r w:rsidRPr="00EF6F04">
        <w:rPr>
          <w:lang w:val="fr-FR"/>
        </w:rPr>
        <w:t>.  </w:t>
      </w:r>
      <w:r w:rsidR="00DD09FD" w:rsidRPr="00EF6F04">
        <w:rPr>
          <w:lang w:val="fr-FR"/>
        </w:rPr>
        <w:t xml:space="preserve">La Cour </w:t>
      </w:r>
      <w:r w:rsidR="00231439" w:rsidRPr="00EF6F04">
        <w:rPr>
          <w:lang w:val="fr-FR"/>
        </w:rPr>
        <w:t>considère que</w:t>
      </w:r>
      <w:r w:rsidR="004D76EC" w:rsidRPr="00EF6F04">
        <w:rPr>
          <w:lang w:val="fr-FR"/>
        </w:rPr>
        <w:t xml:space="preserve"> </w:t>
      </w:r>
      <w:r w:rsidR="00DD09FD" w:rsidRPr="00EF6F04">
        <w:rPr>
          <w:lang w:val="fr-FR"/>
        </w:rPr>
        <w:t>l</w:t>
      </w:r>
      <w:r w:rsidR="00EF6F04" w:rsidRPr="00EF6F04">
        <w:rPr>
          <w:lang w:val="fr-FR"/>
        </w:rPr>
        <w:t>’</w:t>
      </w:r>
      <w:r w:rsidR="00DD09FD" w:rsidRPr="00EF6F04">
        <w:rPr>
          <w:lang w:val="fr-FR"/>
        </w:rPr>
        <w:t>introduction d</w:t>
      </w:r>
      <w:r w:rsidR="00EF6F04" w:rsidRPr="00EF6F04">
        <w:rPr>
          <w:lang w:val="fr-FR"/>
        </w:rPr>
        <w:t>’</w:t>
      </w:r>
      <w:r w:rsidR="00DD09FD" w:rsidRPr="00EF6F04">
        <w:rPr>
          <w:lang w:val="fr-FR"/>
        </w:rPr>
        <w:t xml:space="preserve">une </w:t>
      </w:r>
      <w:r w:rsidR="00FB5E70" w:rsidRPr="00EF6F04">
        <w:rPr>
          <w:lang w:val="fr-FR"/>
        </w:rPr>
        <w:t>demande de fixation en urgence de la date de l</w:t>
      </w:r>
      <w:r w:rsidR="00EF6F04" w:rsidRPr="00EF6F04">
        <w:rPr>
          <w:lang w:val="fr-FR"/>
        </w:rPr>
        <w:t>’</w:t>
      </w:r>
      <w:r w:rsidR="00FB5E70" w:rsidRPr="00EF6F04">
        <w:rPr>
          <w:lang w:val="fr-FR"/>
        </w:rPr>
        <w:t>audience (</w:t>
      </w:r>
      <w:r w:rsidR="00DD09FD" w:rsidRPr="00EF6F04">
        <w:rPr>
          <w:i/>
          <w:lang w:val="fr-FR"/>
        </w:rPr>
        <w:t>istanza di prelievo</w:t>
      </w:r>
      <w:r w:rsidR="00FB5E70" w:rsidRPr="00EF6F04">
        <w:rPr>
          <w:lang w:val="fr-FR"/>
        </w:rPr>
        <w:t xml:space="preserve">) </w:t>
      </w:r>
      <w:r w:rsidR="00231439" w:rsidRPr="00EF6F04">
        <w:rPr>
          <w:lang w:val="fr-FR"/>
        </w:rPr>
        <w:t>n</w:t>
      </w:r>
      <w:r w:rsidR="00EF6F04" w:rsidRPr="00EF6F04">
        <w:rPr>
          <w:lang w:val="fr-FR"/>
        </w:rPr>
        <w:t>’</w:t>
      </w:r>
      <w:r w:rsidR="00BD5DB4" w:rsidRPr="00EF6F04">
        <w:rPr>
          <w:lang w:val="fr-FR"/>
        </w:rPr>
        <w:t>a</w:t>
      </w:r>
      <w:r w:rsidR="00231439" w:rsidRPr="00EF6F04">
        <w:rPr>
          <w:lang w:val="fr-FR"/>
        </w:rPr>
        <w:t xml:space="preserve"> pas</w:t>
      </w:r>
      <w:r w:rsidR="00BD5DB4" w:rsidRPr="00EF6F04">
        <w:rPr>
          <w:lang w:val="fr-FR"/>
        </w:rPr>
        <w:t xml:space="preserve"> un effet significatif sur la durée de la procédure, soit en débouchant sur son accélération, soit en l</w:t>
      </w:r>
      <w:r w:rsidR="00EF6F04" w:rsidRPr="00EF6F04">
        <w:rPr>
          <w:lang w:val="fr-FR"/>
        </w:rPr>
        <w:t>’</w:t>
      </w:r>
      <w:r w:rsidR="00BD5DB4" w:rsidRPr="00EF6F04">
        <w:rPr>
          <w:lang w:val="fr-FR"/>
        </w:rPr>
        <w:t>empêchant d</w:t>
      </w:r>
      <w:r w:rsidR="00EF6F04" w:rsidRPr="00EF6F04">
        <w:rPr>
          <w:lang w:val="fr-FR"/>
        </w:rPr>
        <w:t>’</w:t>
      </w:r>
      <w:r w:rsidR="00B4137E" w:rsidRPr="00EF6F04">
        <w:rPr>
          <w:lang w:val="fr-FR"/>
        </w:rPr>
        <w:t>aller</w:t>
      </w:r>
      <w:r w:rsidR="00BD5DB4" w:rsidRPr="00EF6F04">
        <w:rPr>
          <w:lang w:val="fr-FR"/>
        </w:rPr>
        <w:t xml:space="preserve"> </w:t>
      </w:r>
      <w:r w:rsidR="005679B1" w:rsidRPr="00EF6F04">
        <w:rPr>
          <w:lang w:val="fr-FR"/>
        </w:rPr>
        <w:t>au-delà</w:t>
      </w:r>
      <w:r w:rsidR="00BD5DB4" w:rsidRPr="00EF6F04">
        <w:rPr>
          <w:lang w:val="fr-FR"/>
        </w:rPr>
        <w:t xml:space="preserve"> de ce qui pourrait être considéré comme raisonnable (voir, </w:t>
      </w:r>
      <w:r w:rsidR="00BD5DB4" w:rsidRPr="00EF6F04">
        <w:rPr>
          <w:i/>
          <w:lang w:val="fr-FR"/>
        </w:rPr>
        <w:t>a contrario</w:t>
      </w:r>
      <w:r w:rsidR="00BD5DB4" w:rsidRPr="00EF6F04">
        <w:rPr>
          <w:lang w:val="fr-FR"/>
        </w:rPr>
        <w:t xml:space="preserve">, </w:t>
      </w:r>
      <w:r w:rsidR="00BD5DB4" w:rsidRPr="00EF6F04">
        <w:rPr>
          <w:i/>
          <w:lang w:val="fr-FR"/>
        </w:rPr>
        <w:t>Holzinger (n</w:t>
      </w:r>
      <w:r w:rsidR="006317C1" w:rsidRPr="00EF6F04">
        <w:rPr>
          <w:i/>
          <w:vertAlign w:val="superscript"/>
          <w:lang w:val="fr-FR"/>
        </w:rPr>
        <w:t>o</w:t>
      </w:r>
      <w:r w:rsidR="00BD5DB4" w:rsidRPr="00EF6F04">
        <w:rPr>
          <w:i/>
          <w:lang w:val="fr-FR"/>
        </w:rPr>
        <w:t>1) c.</w:t>
      </w:r>
      <w:r w:rsidR="00F749C2" w:rsidRPr="00EF6F04">
        <w:rPr>
          <w:i/>
          <w:lang w:val="fr-FR"/>
        </w:rPr>
        <w:t> </w:t>
      </w:r>
      <w:r w:rsidR="00BD5DB4" w:rsidRPr="00EF6F04">
        <w:rPr>
          <w:i/>
          <w:lang w:val="fr-FR"/>
        </w:rPr>
        <w:t>Autriche</w:t>
      </w:r>
      <w:r w:rsidR="00BD5DB4" w:rsidRPr="00EF6F04">
        <w:rPr>
          <w:lang w:val="fr-FR"/>
        </w:rPr>
        <w:t>, n</w:t>
      </w:r>
      <w:r w:rsidR="006317C1" w:rsidRPr="00EF6F04">
        <w:rPr>
          <w:vertAlign w:val="superscript"/>
          <w:lang w:val="fr-FR"/>
        </w:rPr>
        <w:t>o</w:t>
      </w:r>
      <w:r w:rsidR="00BD5DB4" w:rsidRPr="00EF6F04">
        <w:rPr>
          <w:lang w:val="fr-FR"/>
        </w:rPr>
        <w:t xml:space="preserve"> 23459/94, § 22, CEDH 2001-I).</w:t>
      </w:r>
      <w:r w:rsidR="0009060F" w:rsidRPr="00EF6F04">
        <w:rPr>
          <w:lang w:val="fr-FR"/>
        </w:rPr>
        <w:t xml:space="preserve"> </w:t>
      </w:r>
      <w:r w:rsidR="00DD09FD" w:rsidRPr="00EF6F04">
        <w:rPr>
          <w:lang w:val="fr-FR"/>
        </w:rPr>
        <w:t>Il y a</w:t>
      </w:r>
      <w:r w:rsidR="00AA365E" w:rsidRPr="00EF6F04">
        <w:rPr>
          <w:lang w:val="fr-FR"/>
        </w:rPr>
        <w:t xml:space="preserve"> donc</w:t>
      </w:r>
      <w:r w:rsidR="00DD09FD" w:rsidRPr="00EF6F04">
        <w:rPr>
          <w:lang w:val="fr-FR"/>
        </w:rPr>
        <w:t xml:space="preserve"> lieu de conclure que</w:t>
      </w:r>
      <w:r w:rsidR="00D569D5" w:rsidRPr="00EF6F04">
        <w:rPr>
          <w:lang w:val="fr-FR"/>
        </w:rPr>
        <w:t xml:space="preserve"> l</w:t>
      </w:r>
      <w:r w:rsidR="00551272" w:rsidRPr="00EF6F04">
        <w:rPr>
          <w:lang w:val="fr-FR"/>
        </w:rPr>
        <w:t>e résultat</w:t>
      </w:r>
      <w:r w:rsidR="00D569D5" w:rsidRPr="00EF6F04">
        <w:rPr>
          <w:lang w:val="fr-FR"/>
        </w:rPr>
        <w:t xml:space="preserve"> de </w:t>
      </w:r>
      <w:r w:rsidR="00D97E92" w:rsidRPr="00EF6F04">
        <w:rPr>
          <w:lang w:val="fr-FR"/>
        </w:rPr>
        <w:t>cette</w:t>
      </w:r>
      <w:r w:rsidR="00D569D5" w:rsidRPr="00EF6F04">
        <w:rPr>
          <w:lang w:val="fr-FR"/>
        </w:rPr>
        <w:t xml:space="preserve"> demande </w:t>
      </w:r>
      <w:r w:rsidR="00115E9C" w:rsidRPr="00EF6F04">
        <w:rPr>
          <w:lang w:val="fr-FR"/>
        </w:rPr>
        <w:t>est aléatoire.</w:t>
      </w:r>
    </w:p>
    <w:p w:rsidR="00E6681E" w:rsidRPr="00EF6F04" w:rsidRDefault="00BF7604"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62</w:t>
      </w:r>
      <w:r w:rsidRPr="00EF6F04">
        <w:rPr>
          <w:lang w:val="fr-FR"/>
        </w:rPr>
        <w:fldChar w:fldCharType="end"/>
      </w:r>
      <w:r w:rsidRPr="00EF6F04">
        <w:rPr>
          <w:lang w:val="fr-FR"/>
        </w:rPr>
        <w:t>.  La Cour observe également que la nouvelle disposition</w:t>
      </w:r>
      <w:r w:rsidR="00861E9D" w:rsidRPr="00EF6F04">
        <w:rPr>
          <w:lang w:val="fr-FR"/>
        </w:rPr>
        <w:t>, en absence de régime transitoire,</w:t>
      </w:r>
      <w:r w:rsidRPr="00EF6F04">
        <w:rPr>
          <w:lang w:val="fr-FR"/>
        </w:rPr>
        <w:t xml:space="preserve"> s</w:t>
      </w:r>
      <w:r w:rsidR="00EF6F04" w:rsidRPr="00EF6F04">
        <w:rPr>
          <w:lang w:val="fr-FR"/>
        </w:rPr>
        <w:t>’</w:t>
      </w:r>
      <w:r w:rsidRPr="00EF6F04">
        <w:rPr>
          <w:lang w:val="fr-FR"/>
        </w:rPr>
        <w:t>applique de façon automatique à tout recours « Pinto », indépendamment de la durée d</w:t>
      </w:r>
      <w:r w:rsidR="00551272" w:rsidRPr="00EF6F04">
        <w:rPr>
          <w:lang w:val="fr-FR"/>
        </w:rPr>
        <w:t>e la procédure administrative principale, ce qui</w:t>
      </w:r>
      <w:r w:rsidR="00861E9D" w:rsidRPr="00EF6F04">
        <w:rPr>
          <w:lang w:val="fr-FR"/>
        </w:rPr>
        <w:t xml:space="preserve"> </w:t>
      </w:r>
      <w:r w:rsidR="00551272" w:rsidRPr="00EF6F04">
        <w:rPr>
          <w:lang w:val="fr-FR"/>
        </w:rPr>
        <w:t>oblige</w:t>
      </w:r>
      <w:r w:rsidR="00861E9D" w:rsidRPr="00EF6F04">
        <w:rPr>
          <w:lang w:val="fr-FR"/>
        </w:rPr>
        <w:t xml:space="preserve"> les parties à multiplier les demandes visant à obtenir la conclusion d</w:t>
      </w:r>
      <w:r w:rsidR="00EF6F04" w:rsidRPr="00EF6F04">
        <w:rPr>
          <w:lang w:val="fr-FR"/>
        </w:rPr>
        <w:t>’</w:t>
      </w:r>
      <w:r w:rsidR="00861E9D" w:rsidRPr="00EF6F04">
        <w:rPr>
          <w:lang w:val="fr-FR"/>
        </w:rPr>
        <w:t>un procès dont la durée est déjà déraisonnable.</w:t>
      </w:r>
    </w:p>
    <w:p w:rsidR="00861E9D" w:rsidRPr="00EF6F04" w:rsidRDefault="00861E9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63</w:t>
      </w:r>
      <w:r w:rsidRPr="00EF6F04">
        <w:rPr>
          <w:lang w:val="fr-FR"/>
        </w:rPr>
        <w:fldChar w:fldCharType="end"/>
      </w:r>
      <w:r w:rsidRPr="00EF6F04">
        <w:rPr>
          <w:lang w:val="fr-FR"/>
        </w:rPr>
        <w:t>.  Dans les cas d</w:t>
      </w:r>
      <w:r w:rsidR="00EF6F04" w:rsidRPr="00EF6F04">
        <w:rPr>
          <w:lang w:val="fr-FR"/>
        </w:rPr>
        <w:t>’</w:t>
      </w:r>
      <w:r w:rsidRPr="00EF6F04">
        <w:rPr>
          <w:lang w:val="fr-FR"/>
        </w:rPr>
        <w:t xml:space="preserve">espèce, chaque requérant, sollicité en ce sens par le greffe du TAR, a présenté une </w:t>
      </w:r>
      <w:r w:rsidR="00306F63" w:rsidRPr="00EF6F04">
        <w:rPr>
          <w:lang w:val="fr-FR"/>
        </w:rPr>
        <w:t xml:space="preserve">deuxième </w:t>
      </w:r>
      <w:r w:rsidRPr="00EF6F04">
        <w:rPr>
          <w:lang w:val="fr-FR"/>
        </w:rPr>
        <w:t>demande de fixation de l</w:t>
      </w:r>
      <w:r w:rsidR="00EF6F04" w:rsidRPr="00EF6F04">
        <w:rPr>
          <w:lang w:val="fr-FR"/>
        </w:rPr>
        <w:t>’</w:t>
      </w:r>
      <w:r w:rsidRPr="00EF6F04">
        <w:rPr>
          <w:lang w:val="fr-FR"/>
        </w:rPr>
        <w:t>audience (</w:t>
      </w:r>
      <w:r w:rsidRPr="00EF6F04">
        <w:rPr>
          <w:i/>
          <w:lang w:val="fr-FR"/>
        </w:rPr>
        <w:t>istanza di fissazione</w:t>
      </w:r>
      <w:r w:rsidR="00FB5E70" w:rsidRPr="00EF6F04">
        <w:rPr>
          <w:i/>
          <w:lang w:val="fr-FR"/>
        </w:rPr>
        <w:t xml:space="preserve"> dell</w:t>
      </w:r>
      <w:r w:rsidR="00EF6F04" w:rsidRPr="00EF6F04">
        <w:rPr>
          <w:i/>
          <w:lang w:val="fr-FR"/>
        </w:rPr>
        <w:t>’</w:t>
      </w:r>
      <w:r w:rsidR="00FB5E70" w:rsidRPr="00EF6F04">
        <w:rPr>
          <w:i/>
          <w:lang w:val="fr-FR"/>
        </w:rPr>
        <w:t>udienza</w:t>
      </w:r>
      <w:r w:rsidRPr="00EF6F04">
        <w:rPr>
          <w:lang w:val="fr-FR"/>
        </w:rPr>
        <w:t>) afin d</w:t>
      </w:r>
      <w:r w:rsidR="00EF6F04" w:rsidRPr="00EF6F04">
        <w:rPr>
          <w:lang w:val="fr-FR"/>
        </w:rPr>
        <w:t>’</w:t>
      </w:r>
      <w:r w:rsidRPr="00EF6F04">
        <w:rPr>
          <w:lang w:val="fr-FR"/>
        </w:rPr>
        <w:t>éviter la péremption de</w:t>
      </w:r>
      <w:r w:rsidR="00551272" w:rsidRPr="00EF6F04">
        <w:rPr>
          <w:lang w:val="fr-FR"/>
        </w:rPr>
        <w:t xml:space="preserve"> son</w:t>
      </w:r>
      <w:r w:rsidRPr="00EF6F04">
        <w:rPr>
          <w:lang w:val="fr-FR"/>
        </w:rPr>
        <w:t xml:space="preserve"> affaire. Déposées entre juillet et septembre 2008, ces demandes ont </w:t>
      </w:r>
      <w:r w:rsidR="00306F63" w:rsidRPr="00EF6F04">
        <w:rPr>
          <w:lang w:val="fr-FR"/>
        </w:rPr>
        <w:t xml:space="preserve">également </w:t>
      </w:r>
      <w:r w:rsidRPr="00EF6F04">
        <w:rPr>
          <w:lang w:val="fr-FR"/>
        </w:rPr>
        <w:t>entraîné la fixation de</w:t>
      </w:r>
      <w:r w:rsidR="00306F63" w:rsidRPr="00EF6F04">
        <w:rPr>
          <w:lang w:val="fr-FR"/>
        </w:rPr>
        <w:t xml:space="preserve"> l</w:t>
      </w:r>
      <w:r w:rsidR="00EF6F04" w:rsidRPr="00EF6F04">
        <w:rPr>
          <w:lang w:val="fr-FR"/>
        </w:rPr>
        <w:t>’</w:t>
      </w:r>
      <w:r w:rsidRPr="00EF6F04">
        <w:rPr>
          <w:lang w:val="fr-FR"/>
        </w:rPr>
        <w:t>audience de discussion</w:t>
      </w:r>
      <w:r w:rsidR="00306F63" w:rsidRPr="00EF6F04">
        <w:rPr>
          <w:lang w:val="fr-FR"/>
        </w:rPr>
        <w:t xml:space="preserve"> pour chaque affaire. Les audiences ont</w:t>
      </w:r>
      <w:r w:rsidRPr="00EF6F04">
        <w:rPr>
          <w:lang w:val="fr-FR"/>
        </w:rPr>
        <w:t xml:space="preserve"> eu lieu entre novembre 2008 et mars 2009 (voir tableau en annexe). Les requérants n</w:t>
      </w:r>
      <w:r w:rsidR="00EF6F04" w:rsidRPr="00EF6F04">
        <w:rPr>
          <w:lang w:val="fr-FR"/>
        </w:rPr>
        <w:t>’</w:t>
      </w:r>
      <w:r w:rsidRPr="00EF6F04">
        <w:rPr>
          <w:lang w:val="fr-FR"/>
        </w:rPr>
        <w:t xml:space="preserve">avaient donc aucun intérêt à solliciter </w:t>
      </w:r>
      <w:r w:rsidRPr="00EF6F04">
        <w:rPr>
          <w:lang w:val="fr-FR"/>
        </w:rPr>
        <w:lastRenderedPageBreak/>
        <w:t>une deuxième fois le greffe du TAR pour demander la fixation en urgence de la date de l</w:t>
      </w:r>
      <w:r w:rsidR="00EF6F04" w:rsidRPr="00EF6F04">
        <w:rPr>
          <w:lang w:val="fr-FR"/>
        </w:rPr>
        <w:t>’</w:t>
      </w:r>
      <w:r w:rsidRPr="00EF6F04">
        <w:rPr>
          <w:lang w:val="fr-FR"/>
        </w:rPr>
        <w:t>audience.</w:t>
      </w:r>
    </w:p>
    <w:p w:rsidR="005523CC" w:rsidRPr="00EF6F04" w:rsidRDefault="008603C4" w:rsidP="00EF6F04">
      <w:pPr>
        <w:pStyle w:val="ECHRPara"/>
        <w:rPr>
          <w:lang w:val="fr-FR"/>
        </w:rPr>
      </w:pPr>
      <w:r w:rsidRPr="00EF6F04">
        <w:rPr>
          <w:rStyle w:val="ECHRParaChar"/>
          <w:lang w:val="fr-FR"/>
        </w:rPr>
        <w:fldChar w:fldCharType="begin"/>
      </w:r>
      <w:r w:rsidRPr="00EF6F04">
        <w:rPr>
          <w:rStyle w:val="ECHRParaChar"/>
          <w:lang w:val="fr-FR"/>
        </w:rPr>
        <w:instrText xml:space="preserve"> SEQ level0 \*arabic </w:instrText>
      </w:r>
      <w:r w:rsidRPr="00EF6F04">
        <w:rPr>
          <w:rStyle w:val="ECHRParaChar"/>
          <w:lang w:val="fr-FR"/>
        </w:rPr>
        <w:fldChar w:fldCharType="separate"/>
      </w:r>
      <w:r w:rsidR="00EF6F04" w:rsidRPr="00EF6F04">
        <w:rPr>
          <w:rStyle w:val="ECHRParaChar"/>
          <w:noProof/>
          <w:lang w:val="fr-FR"/>
        </w:rPr>
        <w:t>64</w:t>
      </w:r>
      <w:r w:rsidRPr="00EF6F04">
        <w:rPr>
          <w:rStyle w:val="ECHRParaChar"/>
          <w:lang w:val="fr-FR"/>
        </w:rPr>
        <w:fldChar w:fldCharType="end"/>
      </w:r>
      <w:r w:rsidRPr="00EF6F04">
        <w:rPr>
          <w:rStyle w:val="ECHRParaChar"/>
          <w:lang w:val="fr-FR"/>
        </w:rPr>
        <w:t>.  </w:t>
      </w:r>
      <w:r w:rsidR="00861E9D" w:rsidRPr="00EF6F04">
        <w:rPr>
          <w:rStyle w:val="ECHRParaChar"/>
          <w:lang w:val="fr-FR"/>
        </w:rPr>
        <w:t>Selon la Cour, la condition de recevabilité d</w:t>
      </w:r>
      <w:r w:rsidR="00EF6F04" w:rsidRPr="00EF6F04">
        <w:rPr>
          <w:rStyle w:val="ECHRParaChar"/>
          <w:lang w:val="fr-FR"/>
        </w:rPr>
        <w:t>’</w:t>
      </w:r>
      <w:r w:rsidR="00861E9D" w:rsidRPr="00EF6F04">
        <w:rPr>
          <w:rStyle w:val="ECHRParaChar"/>
          <w:lang w:val="fr-FR"/>
        </w:rPr>
        <w:t>un recours « Pinto »</w:t>
      </w:r>
      <w:r w:rsidR="00FB5E70" w:rsidRPr="00EF6F04">
        <w:rPr>
          <w:rStyle w:val="ECHRParaChar"/>
          <w:lang w:val="fr-FR"/>
        </w:rPr>
        <w:t xml:space="preserve"> prévu à l</w:t>
      </w:r>
      <w:r w:rsidR="00EF6F04" w:rsidRPr="00EF6F04">
        <w:rPr>
          <w:rStyle w:val="ECHRParaChar"/>
          <w:lang w:val="fr-FR"/>
        </w:rPr>
        <w:t>’</w:t>
      </w:r>
      <w:r w:rsidR="00FB5E70" w:rsidRPr="00EF6F04">
        <w:rPr>
          <w:rStyle w:val="ECHRParaChar"/>
          <w:lang w:val="fr-FR"/>
        </w:rPr>
        <w:t>article 54, alinéa 2 de la loi n</w:t>
      </w:r>
      <w:r w:rsidR="00FB5E70" w:rsidRPr="00EF6F04">
        <w:rPr>
          <w:rStyle w:val="ECHRParaChar"/>
          <w:vertAlign w:val="superscript"/>
          <w:lang w:val="fr-FR"/>
        </w:rPr>
        <w:t xml:space="preserve">o </w:t>
      </w:r>
      <w:r w:rsidR="00FB5E70" w:rsidRPr="00EF6F04">
        <w:rPr>
          <w:rStyle w:val="ECHRParaChar"/>
          <w:lang w:val="fr-FR"/>
        </w:rPr>
        <w:t>112/2008</w:t>
      </w:r>
      <w:r w:rsidR="00861E9D" w:rsidRPr="00EF6F04">
        <w:rPr>
          <w:rStyle w:val="ECHRParaChar"/>
          <w:lang w:val="fr-FR"/>
        </w:rPr>
        <w:t xml:space="preserve"> </w:t>
      </w:r>
      <w:r w:rsidR="00D96EAC" w:rsidRPr="00EF6F04">
        <w:rPr>
          <w:rStyle w:val="ECHRParaChar"/>
          <w:lang w:val="fr-FR"/>
        </w:rPr>
        <w:t xml:space="preserve">apparaît comme </w:t>
      </w:r>
      <w:r w:rsidR="00861E9D" w:rsidRPr="00EF6F04">
        <w:rPr>
          <w:rStyle w:val="ECHRParaChar"/>
          <w:lang w:val="fr-FR"/>
        </w:rPr>
        <w:t xml:space="preserve">une </w:t>
      </w:r>
      <w:r w:rsidR="00861E9D" w:rsidRPr="00EF6F04">
        <w:rPr>
          <w:lang w:val="fr-FR"/>
        </w:rPr>
        <w:t xml:space="preserve">condition </w:t>
      </w:r>
      <w:r w:rsidR="00501410" w:rsidRPr="00EF6F04">
        <w:rPr>
          <w:lang w:val="fr-FR"/>
        </w:rPr>
        <w:t xml:space="preserve">formelle </w:t>
      </w:r>
      <w:r w:rsidR="00861E9D" w:rsidRPr="00EF6F04">
        <w:rPr>
          <w:lang w:val="fr-FR"/>
        </w:rPr>
        <w:t xml:space="preserve">qui a pour effet </w:t>
      </w:r>
      <w:r w:rsidR="00937E6D" w:rsidRPr="00EF6F04">
        <w:rPr>
          <w:lang w:val="fr-FR"/>
        </w:rPr>
        <w:t>d</w:t>
      </w:r>
      <w:r w:rsidR="00EF6F04" w:rsidRPr="00EF6F04">
        <w:rPr>
          <w:lang w:val="fr-FR"/>
        </w:rPr>
        <w:t>’</w:t>
      </w:r>
      <w:r w:rsidR="00861E9D" w:rsidRPr="00EF6F04">
        <w:rPr>
          <w:lang w:val="fr-FR"/>
        </w:rPr>
        <w:t>entraver l</w:t>
      </w:r>
      <w:r w:rsidR="00EF6F04" w:rsidRPr="00EF6F04">
        <w:rPr>
          <w:lang w:val="fr-FR"/>
        </w:rPr>
        <w:t>’</w:t>
      </w:r>
      <w:r w:rsidR="00937E6D" w:rsidRPr="00EF6F04">
        <w:rPr>
          <w:lang w:val="fr-FR"/>
        </w:rPr>
        <w:t>accès à la procédure</w:t>
      </w:r>
      <w:r w:rsidR="00861E9D" w:rsidRPr="00EF6F04">
        <w:rPr>
          <w:lang w:val="fr-FR"/>
        </w:rPr>
        <w:t xml:space="preserve"> « Pinto ».</w:t>
      </w:r>
      <w:r w:rsidR="00306F63" w:rsidRPr="00EF6F04">
        <w:rPr>
          <w:lang w:val="fr-FR"/>
        </w:rPr>
        <w:t xml:space="preserve"> Elle</w:t>
      </w:r>
      <w:r w:rsidR="00B65E73" w:rsidRPr="00EF6F04">
        <w:rPr>
          <w:lang w:val="fr-FR"/>
        </w:rPr>
        <w:t xml:space="preserve"> </w:t>
      </w:r>
      <w:r w:rsidR="00937E6D" w:rsidRPr="00EF6F04">
        <w:rPr>
          <w:lang w:val="fr-FR"/>
        </w:rPr>
        <w:t xml:space="preserve">considère </w:t>
      </w:r>
      <w:r w:rsidR="00B65E73" w:rsidRPr="00EF6F04">
        <w:rPr>
          <w:lang w:val="fr-FR"/>
        </w:rPr>
        <w:t>que l</w:t>
      </w:r>
      <w:r w:rsidR="00EF6F04" w:rsidRPr="00EF6F04">
        <w:rPr>
          <w:lang w:val="fr-FR"/>
        </w:rPr>
        <w:t>’</w:t>
      </w:r>
      <w:r w:rsidR="00B65E73" w:rsidRPr="00EF6F04">
        <w:rPr>
          <w:lang w:val="fr-FR"/>
        </w:rPr>
        <w:t>irrecevabilité</w:t>
      </w:r>
      <w:r w:rsidR="005523CC" w:rsidRPr="00EF6F04">
        <w:rPr>
          <w:lang w:val="fr-FR"/>
        </w:rPr>
        <w:t xml:space="preserve"> </w:t>
      </w:r>
      <w:r w:rsidR="00937E6D" w:rsidRPr="00EF6F04">
        <w:rPr>
          <w:lang w:val="fr-FR"/>
        </w:rPr>
        <w:t xml:space="preserve">automatique </w:t>
      </w:r>
      <w:r w:rsidR="00B65E73" w:rsidRPr="00EF6F04">
        <w:rPr>
          <w:lang w:val="fr-FR"/>
        </w:rPr>
        <w:t>des recours « Pinto », fondée uniquement sur le fait que les requérants n</w:t>
      </w:r>
      <w:r w:rsidR="00EF6F04" w:rsidRPr="00EF6F04">
        <w:rPr>
          <w:lang w:val="fr-FR"/>
        </w:rPr>
        <w:t>’</w:t>
      </w:r>
      <w:r w:rsidR="00B65E73" w:rsidRPr="00EF6F04">
        <w:rPr>
          <w:lang w:val="fr-FR"/>
        </w:rPr>
        <w:t xml:space="preserve">ont pas présenté </w:t>
      </w:r>
      <w:r w:rsidR="000B5C05" w:rsidRPr="00EF6F04">
        <w:rPr>
          <w:lang w:val="fr-FR"/>
        </w:rPr>
        <w:t>l</w:t>
      </w:r>
      <w:r w:rsidR="00EF6F04" w:rsidRPr="00EF6F04">
        <w:rPr>
          <w:lang w:val="fr-FR"/>
        </w:rPr>
        <w:t>’</w:t>
      </w:r>
      <w:r w:rsidR="00937E6D" w:rsidRPr="00EF6F04">
        <w:rPr>
          <w:i/>
          <w:lang w:val="fr-FR"/>
        </w:rPr>
        <w:t>istanza di prelievo</w:t>
      </w:r>
      <w:r w:rsidR="00B65E73" w:rsidRPr="00EF6F04">
        <w:rPr>
          <w:lang w:val="fr-FR"/>
        </w:rPr>
        <w:t xml:space="preserve">, </w:t>
      </w:r>
      <w:r w:rsidR="00BF7604" w:rsidRPr="00EF6F04">
        <w:rPr>
          <w:lang w:val="fr-FR"/>
        </w:rPr>
        <w:t xml:space="preserve">a </w:t>
      </w:r>
      <w:r w:rsidR="00BF7604" w:rsidRPr="00EF6F04">
        <w:rPr>
          <w:rStyle w:val="ECHRParaChar"/>
          <w:lang w:val="fr-FR"/>
        </w:rPr>
        <w:t xml:space="preserve">privé </w:t>
      </w:r>
      <w:r w:rsidR="00AA365E" w:rsidRPr="00EF6F04">
        <w:rPr>
          <w:rStyle w:val="ECHRParaChar"/>
          <w:lang w:val="fr-FR"/>
        </w:rPr>
        <w:t>ceux-ci</w:t>
      </w:r>
      <w:r w:rsidR="00BF7604" w:rsidRPr="00EF6F04">
        <w:rPr>
          <w:rStyle w:val="ECHRParaChar"/>
          <w:lang w:val="fr-FR"/>
        </w:rPr>
        <w:t xml:space="preserve"> de la possibilité d</w:t>
      </w:r>
      <w:r w:rsidR="00EF6F04" w:rsidRPr="00EF6F04">
        <w:rPr>
          <w:rStyle w:val="ECHRParaChar"/>
          <w:lang w:val="fr-FR"/>
        </w:rPr>
        <w:t>’</w:t>
      </w:r>
      <w:r w:rsidR="00BF7604" w:rsidRPr="00EF6F04">
        <w:rPr>
          <w:rStyle w:val="ECHRParaChar"/>
          <w:lang w:val="fr-FR"/>
        </w:rPr>
        <w:t xml:space="preserve">obtenir un redressement approprié et suffisant (voir </w:t>
      </w:r>
      <w:r w:rsidR="00BF7604" w:rsidRPr="00EF6F04">
        <w:rPr>
          <w:rStyle w:val="ECHRParaChar"/>
          <w:i/>
          <w:lang w:val="fr-FR"/>
        </w:rPr>
        <w:t>a contrario</w:t>
      </w:r>
      <w:r w:rsidR="00BF7604" w:rsidRPr="00EF6F04">
        <w:rPr>
          <w:rStyle w:val="ECHRParaChar"/>
          <w:lang w:val="fr-FR"/>
        </w:rPr>
        <w:t xml:space="preserve"> </w:t>
      </w:r>
      <w:r w:rsidR="00BF7604" w:rsidRPr="00EF6F04">
        <w:rPr>
          <w:i/>
          <w:lang w:val="fr-FR"/>
        </w:rPr>
        <w:t>Mifsud c. France</w:t>
      </w:r>
      <w:r w:rsidR="00BF7604" w:rsidRPr="00EF6F04">
        <w:rPr>
          <w:lang w:val="fr-FR"/>
        </w:rPr>
        <w:t xml:space="preserve"> (déc.) [GC], n</w:t>
      </w:r>
      <w:r w:rsidR="00BF7604" w:rsidRPr="00EF6F04">
        <w:rPr>
          <w:vertAlign w:val="superscript"/>
          <w:lang w:val="fr-FR"/>
        </w:rPr>
        <w:t>o</w:t>
      </w:r>
      <w:r w:rsidR="005679B1" w:rsidRPr="00EF6F04">
        <w:rPr>
          <w:lang w:val="fr-FR"/>
        </w:rPr>
        <w:t> </w:t>
      </w:r>
      <w:r w:rsidR="00BF7604" w:rsidRPr="00EF6F04">
        <w:rPr>
          <w:lang w:val="fr-FR"/>
        </w:rPr>
        <w:t>57220/00, § 16-17, CEDH 2002</w:t>
      </w:r>
      <w:r w:rsidR="00BF7604" w:rsidRPr="00EF6F04">
        <w:rPr>
          <w:lang w:val="fr-FR"/>
        </w:rPr>
        <w:noBreakHyphen/>
        <w:t>VIII</w:t>
      </w:r>
      <w:r w:rsidR="00BF7604" w:rsidRPr="00EF6F04">
        <w:rPr>
          <w:rStyle w:val="ECHRParaChar"/>
          <w:lang w:val="fr-FR"/>
        </w:rPr>
        <w:t>).</w:t>
      </w:r>
    </w:p>
    <w:p w:rsidR="00CD0291" w:rsidRPr="00EF6F04" w:rsidRDefault="00306F63"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65</w:t>
      </w:r>
      <w:r w:rsidRPr="00EF6F04">
        <w:rPr>
          <w:lang w:val="fr-FR"/>
        </w:rPr>
        <w:fldChar w:fldCharType="end"/>
      </w:r>
      <w:r w:rsidRPr="00EF6F04">
        <w:rPr>
          <w:lang w:val="fr-FR"/>
        </w:rPr>
        <w:t>.  </w:t>
      </w:r>
      <w:r w:rsidR="00BD5DB4" w:rsidRPr="00EF6F04">
        <w:rPr>
          <w:lang w:val="fr-FR"/>
        </w:rPr>
        <w:t>À titre surabondant,</w:t>
      </w:r>
      <w:r w:rsidR="00C667BB" w:rsidRPr="00EF6F04">
        <w:rPr>
          <w:lang w:val="fr-FR"/>
        </w:rPr>
        <w:t xml:space="preserve"> la Cour </w:t>
      </w:r>
      <w:r w:rsidR="00A539B9" w:rsidRPr="00EF6F04">
        <w:rPr>
          <w:lang w:val="fr-FR"/>
        </w:rPr>
        <w:t>observe</w:t>
      </w:r>
      <w:r w:rsidR="00C667BB" w:rsidRPr="00EF6F04">
        <w:rPr>
          <w:lang w:val="fr-FR"/>
        </w:rPr>
        <w:t xml:space="preserve"> que l</w:t>
      </w:r>
      <w:r w:rsidR="00A539B9" w:rsidRPr="00EF6F04">
        <w:rPr>
          <w:lang w:val="fr-FR"/>
        </w:rPr>
        <w:t xml:space="preserve">e législateur a modifié en 2010 </w:t>
      </w:r>
      <w:r w:rsidR="00CD0291" w:rsidRPr="00EF6F04">
        <w:rPr>
          <w:lang w:val="fr-FR"/>
        </w:rPr>
        <w:t>la disposition litigieuse</w:t>
      </w:r>
      <w:r w:rsidR="00A539B9" w:rsidRPr="00EF6F04">
        <w:rPr>
          <w:lang w:val="fr-FR"/>
        </w:rPr>
        <w:t xml:space="preserve">, </w:t>
      </w:r>
      <w:r w:rsidR="00F23A84" w:rsidRPr="00EF6F04">
        <w:rPr>
          <w:lang w:val="fr-FR"/>
        </w:rPr>
        <w:t xml:space="preserve">en confirmant les doutes </w:t>
      </w:r>
      <w:r w:rsidR="00937E6D" w:rsidRPr="00EF6F04">
        <w:rPr>
          <w:lang w:val="fr-FR"/>
        </w:rPr>
        <w:t>évoqués</w:t>
      </w:r>
      <w:r w:rsidR="00F23A84" w:rsidRPr="00EF6F04">
        <w:rPr>
          <w:lang w:val="fr-FR"/>
        </w:rPr>
        <w:t xml:space="preserve"> par la</w:t>
      </w:r>
      <w:r w:rsidR="00A539B9" w:rsidRPr="00EF6F04">
        <w:rPr>
          <w:lang w:val="fr-FR"/>
        </w:rPr>
        <w:t xml:space="preserve"> Cour dans sa</w:t>
      </w:r>
      <w:r w:rsidR="00CD0291" w:rsidRPr="00EF6F04">
        <w:rPr>
          <w:lang w:val="fr-FR"/>
        </w:rPr>
        <w:t xml:space="preserve"> décision </w:t>
      </w:r>
      <w:r w:rsidR="0046526E" w:rsidRPr="00EF6F04">
        <w:rPr>
          <w:i/>
          <w:lang w:val="fr-FR"/>
        </w:rPr>
        <w:t>Daddi</w:t>
      </w:r>
      <w:r w:rsidR="00CD0291" w:rsidRPr="00EF6F04">
        <w:rPr>
          <w:lang w:val="fr-FR"/>
        </w:rPr>
        <w:t xml:space="preserve"> (précité</w:t>
      </w:r>
      <w:r w:rsidR="00551272" w:rsidRPr="00EF6F04">
        <w:rPr>
          <w:lang w:val="fr-FR"/>
        </w:rPr>
        <w:t>e</w:t>
      </w:r>
      <w:r w:rsidR="00CD0291" w:rsidRPr="00EF6F04">
        <w:rPr>
          <w:lang w:val="fr-FR"/>
        </w:rPr>
        <w:t>).</w:t>
      </w:r>
    </w:p>
    <w:p w:rsidR="00E81276" w:rsidRPr="00EF6F04" w:rsidRDefault="00CD0291"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66</w:t>
      </w:r>
      <w:r w:rsidRPr="00EF6F04">
        <w:rPr>
          <w:lang w:val="fr-FR"/>
        </w:rPr>
        <w:fldChar w:fldCharType="end"/>
      </w:r>
      <w:r w:rsidRPr="00EF6F04">
        <w:rPr>
          <w:lang w:val="fr-FR"/>
        </w:rPr>
        <w:t>.  </w:t>
      </w:r>
      <w:r w:rsidR="00821381" w:rsidRPr="00EF6F04">
        <w:rPr>
          <w:lang w:val="fr-FR"/>
        </w:rPr>
        <w:t>D</w:t>
      </w:r>
      <w:r w:rsidRPr="00EF6F04">
        <w:rPr>
          <w:lang w:val="fr-FR"/>
        </w:rPr>
        <w:t xml:space="preserve">ans </w:t>
      </w:r>
      <w:r w:rsidR="00821381" w:rsidRPr="00EF6F04">
        <w:rPr>
          <w:lang w:val="fr-FR"/>
        </w:rPr>
        <w:t>la</w:t>
      </w:r>
      <w:r w:rsidRPr="00EF6F04">
        <w:rPr>
          <w:lang w:val="fr-FR"/>
        </w:rPr>
        <w:t xml:space="preserve"> version</w:t>
      </w:r>
      <w:r w:rsidR="00821381" w:rsidRPr="00EF6F04">
        <w:rPr>
          <w:lang w:val="fr-FR"/>
        </w:rPr>
        <w:t xml:space="preserve"> du texte</w:t>
      </w:r>
      <w:r w:rsidRPr="00EF6F04">
        <w:rPr>
          <w:lang w:val="fr-FR"/>
        </w:rPr>
        <w:t xml:space="preserve"> applicable</w:t>
      </w:r>
      <w:r w:rsidR="00821381" w:rsidRPr="00EF6F04">
        <w:rPr>
          <w:lang w:val="fr-FR"/>
        </w:rPr>
        <w:t xml:space="preserve"> aux présentes affaires</w:t>
      </w:r>
      <w:r w:rsidRPr="00EF6F04">
        <w:rPr>
          <w:lang w:val="fr-FR"/>
        </w:rPr>
        <w:t>, l</w:t>
      </w:r>
      <w:r w:rsidR="00EF6F04" w:rsidRPr="00EF6F04">
        <w:rPr>
          <w:lang w:val="fr-FR"/>
        </w:rPr>
        <w:t>’</w:t>
      </w:r>
      <w:r w:rsidR="00C667BB" w:rsidRPr="00EF6F04">
        <w:rPr>
          <w:lang w:val="fr-FR"/>
        </w:rPr>
        <w:t>a</w:t>
      </w:r>
      <w:r w:rsidR="00AF5649" w:rsidRPr="00EF6F04">
        <w:rPr>
          <w:lang w:val="fr-FR"/>
        </w:rPr>
        <w:t>rticle </w:t>
      </w:r>
      <w:r w:rsidR="00E10A72" w:rsidRPr="00EF6F04">
        <w:rPr>
          <w:lang w:val="fr-FR"/>
        </w:rPr>
        <w:t>54</w:t>
      </w:r>
      <w:r w:rsidR="00264317" w:rsidRPr="00EF6F04">
        <w:rPr>
          <w:lang w:val="fr-FR"/>
        </w:rPr>
        <w:t>, alinéa 2,</w:t>
      </w:r>
      <w:r w:rsidR="00E10A72" w:rsidRPr="00EF6F04">
        <w:rPr>
          <w:lang w:val="fr-FR"/>
        </w:rPr>
        <w:t xml:space="preserve"> du décret-loi n</w:t>
      </w:r>
      <w:r w:rsidR="00E10A72" w:rsidRPr="00EF6F04">
        <w:rPr>
          <w:vertAlign w:val="superscript"/>
          <w:lang w:val="fr-FR"/>
        </w:rPr>
        <w:t>o</w:t>
      </w:r>
      <w:r w:rsidR="007C48C8" w:rsidRPr="00EF6F04">
        <w:rPr>
          <w:vertAlign w:val="superscript"/>
          <w:lang w:val="fr-FR"/>
        </w:rPr>
        <w:t xml:space="preserve"> </w:t>
      </w:r>
      <w:r w:rsidR="00E10A72" w:rsidRPr="00EF6F04">
        <w:rPr>
          <w:lang w:val="fr-FR"/>
        </w:rPr>
        <w:t>112</w:t>
      </w:r>
      <w:r w:rsidRPr="00EF6F04">
        <w:rPr>
          <w:lang w:val="fr-FR"/>
        </w:rPr>
        <w:t xml:space="preserve"> de </w:t>
      </w:r>
      <w:r w:rsidR="00E10A72" w:rsidRPr="00EF6F04">
        <w:rPr>
          <w:lang w:val="fr-FR"/>
        </w:rPr>
        <w:t>2008</w:t>
      </w:r>
      <w:r w:rsidRPr="00EF6F04">
        <w:rPr>
          <w:lang w:val="fr-FR"/>
        </w:rPr>
        <w:t xml:space="preserve"> </w:t>
      </w:r>
      <w:r w:rsidR="00C667BB" w:rsidRPr="00EF6F04">
        <w:rPr>
          <w:lang w:val="fr-FR"/>
        </w:rPr>
        <w:t xml:space="preserve">prévoyait </w:t>
      </w:r>
      <w:r w:rsidR="002E7756" w:rsidRPr="00EF6F04">
        <w:rPr>
          <w:lang w:val="fr-FR"/>
        </w:rPr>
        <w:t>qu</w:t>
      </w:r>
      <w:r w:rsidR="00EF6F04" w:rsidRPr="00EF6F04">
        <w:rPr>
          <w:lang w:val="fr-FR"/>
        </w:rPr>
        <w:t>’</w:t>
      </w:r>
      <w:r w:rsidR="002E7756" w:rsidRPr="00EF6F04">
        <w:rPr>
          <w:lang w:val="fr-FR"/>
        </w:rPr>
        <w:t xml:space="preserve">une demande de satisfaction équitable </w:t>
      </w:r>
      <w:r w:rsidR="002C3B5E" w:rsidRPr="00EF6F04">
        <w:rPr>
          <w:lang w:val="fr-FR"/>
        </w:rPr>
        <w:t>aux sens</w:t>
      </w:r>
      <w:r w:rsidR="002E7756" w:rsidRPr="00EF6F04">
        <w:rPr>
          <w:lang w:val="fr-FR"/>
        </w:rPr>
        <w:t xml:space="preserve"> de la loi Pinto pouvait être introduite </w:t>
      </w:r>
      <w:r w:rsidRPr="00EF6F04">
        <w:rPr>
          <w:lang w:val="fr-FR"/>
        </w:rPr>
        <w:t>seulement</w:t>
      </w:r>
      <w:r w:rsidR="002C3B5E" w:rsidRPr="00EF6F04">
        <w:rPr>
          <w:lang w:val="fr-FR"/>
        </w:rPr>
        <w:t xml:space="preserve"> </w:t>
      </w:r>
      <w:r w:rsidR="002E7756" w:rsidRPr="00EF6F04">
        <w:rPr>
          <w:lang w:val="fr-FR"/>
        </w:rPr>
        <w:t>si la partie à la procédure ju</w:t>
      </w:r>
      <w:r w:rsidRPr="00EF6F04">
        <w:rPr>
          <w:lang w:val="fr-FR"/>
        </w:rPr>
        <w:t>ridictionnelle</w:t>
      </w:r>
      <w:r w:rsidR="002E7756" w:rsidRPr="00EF6F04">
        <w:rPr>
          <w:lang w:val="fr-FR"/>
        </w:rPr>
        <w:t xml:space="preserve"> administrative avait déposée</w:t>
      </w:r>
      <w:r w:rsidR="002C3B5E" w:rsidRPr="00EF6F04">
        <w:rPr>
          <w:lang w:val="fr-FR"/>
        </w:rPr>
        <w:t xml:space="preserve"> préalablement</w:t>
      </w:r>
      <w:r w:rsidR="002E7756" w:rsidRPr="00EF6F04">
        <w:rPr>
          <w:lang w:val="fr-FR"/>
        </w:rPr>
        <w:t xml:space="preserve"> une demande de fixation en urgence de l</w:t>
      </w:r>
      <w:r w:rsidR="00821381" w:rsidRPr="00EF6F04">
        <w:rPr>
          <w:lang w:val="fr-FR"/>
        </w:rPr>
        <w:t>a date de l</w:t>
      </w:r>
      <w:r w:rsidR="00EF6F04" w:rsidRPr="00EF6F04">
        <w:rPr>
          <w:lang w:val="fr-FR"/>
        </w:rPr>
        <w:t>’</w:t>
      </w:r>
      <w:r w:rsidR="002E7756" w:rsidRPr="00EF6F04">
        <w:rPr>
          <w:lang w:val="fr-FR"/>
        </w:rPr>
        <w:t xml:space="preserve">audience. </w:t>
      </w:r>
      <w:r w:rsidR="00E81276" w:rsidRPr="00EF6F04">
        <w:rPr>
          <w:lang w:val="fr-FR"/>
        </w:rPr>
        <w:t xml:space="preserve">Cette prévision laissait ouverte </w:t>
      </w:r>
      <w:r w:rsidR="005679B1" w:rsidRPr="00EF6F04">
        <w:rPr>
          <w:lang w:val="fr-FR"/>
        </w:rPr>
        <w:t>au juge</w:t>
      </w:r>
      <w:r w:rsidR="007759B1" w:rsidRPr="00EF6F04">
        <w:rPr>
          <w:lang w:val="fr-FR"/>
        </w:rPr>
        <w:t xml:space="preserve"> national</w:t>
      </w:r>
      <w:r w:rsidR="00E81276" w:rsidRPr="00EF6F04">
        <w:rPr>
          <w:lang w:val="fr-FR"/>
        </w:rPr>
        <w:t xml:space="preserve"> la possibilité d</w:t>
      </w:r>
      <w:r w:rsidR="00EF6F04" w:rsidRPr="00EF6F04">
        <w:rPr>
          <w:lang w:val="fr-FR"/>
        </w:rPr>
        <w:t>’</w:t>
      </w:r>
      <w:r w:rsidR="00E81276" w:rsidRPr="00EF6F04">
        <w:rPr>
          <w:lang w:val="fr-FR"/>
        </w:rPr>
        <w:t xml:space="preserve">inclure, dans le calcul de la durée excessive, </w:t>
      </w:r>
      <w:r w:rsidR="00D6513C" w:rsidRPr="00EF6F04">
        <w:rPr>
          <w:lang w:val="fr-FR"/>
        </w:rPr>
        <w:t>la période antérieure à la date d</w:t>
      </w:r>
      <w:r w:rsidR="00EF6F04" w:rsidRPr="00EF6F04">
        <w:rPr>
          <w:lang w:val="fr-FR"/>
        </w:rPr>
        <w:t>’</w:t>
      </w:r>
      <w:r w:rsidR="00D6513C" w:rsidRPr="00EF6F04">
        <w:rPr>
          <w:lang w:val="fr-FR"/>
        </w:rPr>
        <w:t>entrée en vigueur de la norme contestée.</w:t>
      </w:r>
    </w:p>
    <w:p w:rsidR="006317C1" w:rsidRPr="00EF6F04" w:rsidRDefault="00D6513C"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67</w:t>
      </w:r>
      <w:r w:rsidRPr="00EF6F04">
        <w:rPr>
          <w:lang w:val="fr-FR"/>
        </w:rPr>
        <w:fldChar w:fldCharType="end"/>
      </w:r>
      <w:r w:rsidRPr="00EF6F04">
        <w:rPr>
          <w:lang w:val="fr-FR"/>
        </w:rPr>
        <w:t>.  </w:t>
      </w:r>
      <w:r w:rsidR="00CD0291" w:rsidRPr="00EF6F04">
        <w:rPr>
          <w:lang w:val="fr-FR"/>
        </w:rPr>
        <w:t xml:space="preserve">Par la suite, </w:t>
      </w:r>
      <w:r w:rsidR="00264317" w:rsidRPr="00EF6F04">
        <w:rPr>
          <w:lang w:val="fr-FR"/>
        </w:rPr>
        <w:t>le décret-législatif n</w:t>
      </w:r>
      <w:r w:rsidR="00BE0811" w:rsidRPr="00EF6F04">
        <w:rPr>
          <w:lang w:val="fr-FR"/>
        </w:rPr>
        <w:t>o</w:t>
      </w:r>
      <w:r w:rsidR="00264317" w:rsidRPr="00EF6F04">
        <w:rPr>
          <w:lang w:val="fr-FR"/>
        </w:rPr>
        <w:t xml:space="preserve"> 104 du 2 juillet 2010 introdu</w:t>
      </w:r>
      <w:r w:rsidR="00551272" w:rsidRPr="00EF6F04">
        <w:rPr>
          <w:lang w:val="fr-FR"/>
        </w:rPr>
        <w:t>isant le code de procédure administrative</w:t>
      </w:r>
      <w:r w:rsidR="003202EC" w:rsidRPr="00EF6F04">
        <w:rPr>
          <w:lang w:val="fr-FR"/>
        </w:rPr>
        <w:t>, a modifié la disposition en question</w:t>
      </w:r>
      <w:r w:rsidR="00EB5539" w:rsidRPr="00EF6F04">
        <w:rPr>
          <w:lang w:val="fr-FR"/>
        </w:rPr>
        <w:t xml:space="preserve">. </w:t>
      </w:r>
      <w:r w:rsidR="00A5271F" w:rsidRPr="00EF6F04">
        <w:rPr>
          <w:lang w:val="fr-FR"/>
        </w:rPr>
        <w:t>Celle</w:t>
      </w:r>
      <w:r w:rsidR="00A5271F" w:rsidRPr="00EF6F04">
        <w:rPr>
          <w:lang w:val="fr-FR"/>
        </w:rPr>
        <w:noBreakHyphen/>
        <w:t>ci</w:t>
      </w:r>
      <w:r w:rsidR="00264317" w:rsidRPr="00EF6F04">
        <w:rPr>
          <w:lang w:val="fr-FR"/>
        </w:rPr>
        <w:t xml:space="preserve"> </w:t>
      </w:r>
      <w:r w:rsidR="0018779A" w:rsidRPr="00EF6F04">
        <w:rPr>
          <w:lang w:val="fr-FR"/>
        </w:rPr>
        <w:t>prévoit</w:t>
      </w:r>
      <w:r w:rsidR="00A5271F" w:rsidRPr="00EF6F04">
        <w:rPr>
          <w:lang w:val="fr-FR"/>
        </w:rPr>
        <w:t xml:space="preserve"> désormais</w:t>
      </w:r>
      <w:r w:rsidR="00264317" w:rsidRPr="00EF6F04">
        <w:rPr>
          <w:lang w:val="fr-FR"/>
        </w:rPr>
        <w:t xml:space="preserve"> que :</w:t>
      </w:r>
    </w:p>
    <w:p w:rsidR="00264317" w:rsidRPr="00EF6F04" w:rsidRDefault="00264317" w:rsidP="00EF6F04">
      <w:pPr>
        <w:pStyle w:val="ECHRParaQuote"/>
        <w:rPr>
          <w:lang w:val="fr-FR"/>
        </w:rPr>
      </w:pPr>
      <w:r w:rsidRPr="00EF6F04">
        <w:rPr>
          <w:lang w:val="fr-FR"/>
        </w:rPr>
        <w:t>« La demande de satisfaction équitable pour se plaindre de la violation prévue par l</w:t>
      </w:r>
      <w:r w:rsidR="00EF6F04" w:rsidRPr="00EF6F04">
        <w:rPr>
          <w:lang w:val="fr-FR"/>
        </w:rPr>
        <w:t>’</w:t>
      </w:r>
      <w:r w:rsidRPr="00EF6F04">
        <w:rPr>
          <w:lang w:val="fr-FR"/>
        </w:rPr>
        <w:t>article 2, premier alinéa (de la loi n</w:t>
      </w:r>
      <w:r w:rsidRPr="00EF6F04">
        <w:rPr>
          <w:vertAlign w:val="superscript"/>
          <w:lang w:val="fr-FR"/>
        </w:rPr>
        <w:t>o</w:t>
      </w:r>
      <w:r w:rsidR="0031748E" w:rsidRPr="00EF6F04">
        <w:rPr>
          <w:vertAlign w:val="superscript"/>
          <w:lang w:val="fr-FR"/>
        </w:rPr>
        <w:t xml:space="preserve"> </w:t>
      </w:r>
      <w:r w:rsidRPr="00EF6F04">
        <w:rPr>
          <w:lang w:val="fr-FR"/>
        </w:rPr>
        <w:t>89 du 24 mars 2001) dans un</w:t>
      </w:r>
      <w:r w:rsidR="00551272" w:rsidRPr="00EF6F04">
        <w:rPr>
          <w:lang w:val="fr-FR"/>
        </w:rPr>
        <w:t>e procédure</w:t>
      </w:r>
      <w:r w:rsidRPr="00EF6F04">
        <w:rPr>
          <w:lang w:val="fr-FR"/>
        </w:rPr>
        <w:t xml:space="preserve"> devant le juge administratif ne peut pas être introduite si, dans l</w:t>
      </w:r>
      <w:r w:rsidR="00551272" w:rsidRPr="00EF6F04">
        <w:rPr>
          <w:lang w:val="fr-FR"/>
        </w:rPr>
        <w:t>a</w:t>
      </w:r>
      <w:r w:rsidRPr="00EF6F04">
        <w:rPr>
          <w:lang w:val="fr-FR"/>
        </w:rPr>
        <w:t xml:space="preserve"> proc</w:t>
      </w:r>
      <w:r w:rsidR="00551272" w:rsidRPr="00EF6F04">
        <w:rPr>
          <w:lang w:val="fr-FR"/>
        </w:rPr>
        <w:t>édure</w:t>
      </w:r>
      <w:r w:rsidRPr="00EF6F04">
        <w:rPr>
          <w:lang w:val="fr-FR"/>
        </w:rPr>
        <w:t xml:space="preserve"> en cause, n</w:t>
      </w:r>
      <w:r w:rsidR="00EF6F04" w:rsidRPr="00EF6F04">
        <w:rPr>
          <w:lang w:val="fr-FR"/>
        </w:rPr>
        <w:t>’</w:t>
      </w:r>
      <w:r w:rsidRPr="00EF6F04">
        <w:rPr>
          <w:lang w:val="fr-FR"/>
        </w:rPr>
        <w:t>a pas été présentée une demande de fixation en urgence de l</w:t>
      </w:r>
      <w:r w:rsidR="00EF6F04" w:rsidRPr="00EF6F04">
        <w:rPr>
          <w:lang w:val="fr-FR"/>
        </w:rPr>
        <w:t>’</w:t>
      </w:r>
      <w:r w:rsidRPr="00EF6F04">
        <w:rPr>
          <w:lang w:val="fr-FR"/>
        </w:rPr>
        <w:t>audience (</w:t>
      </w:r>
      <w:r w:rsidRPr="00EF6F04">
        <w:rPr>
          <w:i/>
          <w:lang w:val="fr-FR"/>
        </w:rPr>
        <w:t>istanza di prelievo</w:t>
      </w:r>
      <w:r w:rsidRPr="00EF6F04">
        <w:rPr>
          <w:lang w:val="fr-FR"/>
        </w:rPr>
        <w:t>) au sens de l</w:t>
      </w:r>
      <w:r w:rsidR="00EF6F04" w:rsidRPr="00EF6F04">
        <w:rPr>
          <w:lang w:val="fr-FR"/>
        </w:rPr>
        <w:t>’</w:t>
      </w:r>
      <w:r w:rsidRPr="00EF6F04">
        <w:rPr>
          <w:lang w:val="fr-FR"/>
        </w:rPr>
        <w:t>article 71, deuxième alinéa, du code de procédure administrative, ni par rapport à la période antérieure à sa présentation</w:t>
      </w:r>
      <w:r w:rsidR="00551272" w:rsidRPr="00EF6F04">
        <w:rPr>
          <w:lang w:val="fr-FR"/>
        </w:rPr>
        <w:t>.</w:t>
      </w:r>
      <w:r w:rsidRPr="00EF6F04">
        <w:rPr>
          <w:lang w:val="fr-FR"/>
        </w:rPr>
        <w:t> »</w:t>
      </w:r>
    </w:p>
    <w:p w:rsidR="0018779A" w:rsidRPr="00EF6F04" w:rsidRDefault="00115E9C" w:rsidP="00EF6F04">
      <w:pPr>
        <w:pStyle w:val="ECHRPara"/>
        <w:rPr>
          <w:szCs w:val="20"/>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68</w:t>
      </w:r>
      <w:r w:rsidRPr="00EF6F04">
        <w:rPr>
          <w:lang w:val="fr-FR"/>
        </w:rPr>
        <w:fldChar w:fldCharType="end"/>
      </w:r>
      <w:r w:rsidRPr="00EF6F04">
        <w:rPr>
          <w:lang w:val="fr-FR"/>
        </w:rPr>
        <w:t>.  </w:t>
      </w:r>
      <w:r w:rsidR="00CE65C8" w:rsidRPr="00EF6F04">
        <w:rPr>
          <w:lang w:val="fr-FR"/>
        </w:rPr>
        <w:t>À</w:t>
      </w:r>
      <w:r w:rsidR="00D6513C" w:rsidRPr="00EF6F04">
        <w:rPr>
          <w:lang w:val="fr-FR"/>
        </w:rPr>
        <w:t xml:space="preserve"> cet égard, l</w:t>
      </w:r>
      <w:r w:rsidR="00220218" w:rsidRPr="00EF6F04">
        <w:rPr>
          <w:lang w:val="fr-FR"/>
        </w:rPr>
        <w:t xml:space="preserve">a Cour </w:t>
      </w:r>
      <w:r w:rsidR="00337822" w:rsidRPr="00EF6F04">
        <w:rPr>
          <w:lang w:val="fr-FR"/>
        </w:rPr>
        <w:t xml:space="preserve">a </w:t>
      </w:r>
      <w:r w:rsidR="00220218" w:rsidRPr="00EF6F04">
        <w:rPr>
          <w:lang w:val="fr-FR"/>
        </w:rPr>
        <w:t>estimé qu</w:t>
      </w:r>
      <w:r w:rsidR="00EF6F04" w:rsidRPr="00EF6F04">
        <w:rPr>
          <w:lang w:val="fr-FR"/>
        </w:rPr>
        <w:t>’</w:t>
      </w:r>
      <w:r w:rsidR="00074376" w:rsidRPr="00EF6F04">
        <w:rPr>
          <w:lang w:val="fr-FR"/>
        </w:rPr>
        <w:t>« </w:t>
      </w:r>
      <w:r w:rsidR="00220218" w:rsidRPr="00EF6F04">
        <w:rPr>
          <w:szCs w:val="20"/>
          <w:lang w:val="fr-FR"/>
        </w:rPr>
        <w:t>une pratique d</w:t>
      </w:r>
      <w:r w:rsidR="00EF6F04" w:rsidRPr="00EF6F04">
        <w:rPr>
          <w:szCs w:val="20"/>
          <w:lang w:val="fr-FR"/>
        </w:rPr>
        <w:t>’</w:t>
      </w:r>
      <w:r w:rsidR="00220218" w:rsidRPr="00EF6F04">
        <w:rPr>
          <w:szCs w:val="20"/>
          <w:lang w:val="fr-FR"/>
        </w:rPr>
        <w:t>interprétation et application de l</w:t>
      </w:r>
      <w:r w:rsidR="00EF6F04" w:rsidRPr="00EF6F04">
        <w:rPr>
          <w:szCs w:val="20"/>
          <w:lang w:val="fr-FR"/>
        </w:rPr>
        <w:t>’</w:t>
      </w:r>
      <w:r w:rsidR="00220218" w:rsidRPr="00EF6F04">
        <w:rPr>
          <w:szCs w:val="20"/>
          <w:lang w:val="fr-FR"/>
        </w:rPr>
        <w:t>article 54, deuxième alinéa, dudit décret-loi qui a pour effet de s</w:t>
      </w:r>
      <w:r w:rsidR="00EF6F04" w:rsidRPr="00EF6F04">
        <w:rPr>
          <w:szCs w:val="20"/>
          <w:lang w:val="fr-FR"/>
        </w:rPr>
        <w:t>’</w:t>
      </w:r>
      <w:r w:rsidR="00220218" w:rsidRPr="00EF6F04">
        <w:rPr>
          <w:szCs w:val="20"/>
          <w:lang w:val="fr-FR"/>
        </w:rPr>
        <w:t>opposer</w:t>
      </w:r>
      <w:r w:rsidR="00551272" w:rsidRPr="00EF6F04">
        <w:rPr>
          <w:szCs w:val="20"/>
          <w:lang w:val="fr-FR"/>
        </w:rPr>
        <w:t xml:space="preserve"> à la recevabilité des recours</w:t>
      </w:r>
      <w:r w:rsidR="00220218" w:rsidRPr="00EF6F04">
        <w:rPr>
          <w:szCs w:val="20"/>
          <w:lang w:val="fr-FR"/>
        </w:rPr>
        <w:t xml:space="preserve"> Pinto portant sur la durée d</w:t>
      </w:r>
      <w:r w:rsidR="00EF6F04" w:rsidRPr="00EF6F04">
        <w:rPr>
          <w:szCs w:val="20"/>
          <w:lang w:val="fr-FR"/>
        </w:rPr>
        <w:t>’</w:t>
      </w:r>
      <w:r w:rsidR="00220218" w:rsidRPr="00EF6F04">
        <w:rPr>
          <w:szCs w:val="20"/>
          <w:lang w:val="fr-FR"/>
        </w:rPr>
        <w:t>un</w:t>
      </w:r>
      <w:r w:rsidR="00551272" w:rsidRPr="00EF6F04">
        <w:rPr>
          <w:szCs w:val="20"/>
          <w:lang w:val="fr-FR"/>
        </w:rPr>
        <w:t xml:space="preserve">e procédure </w:t>
      </w:r>
      <w:r w:rsidR="00FB5E70" w:rsidRPr="00EF6F04">
        <w:rPr>
          <w:szCs w:val="20"/>
          <w:lang w:val="fr-FR"/>
        </w:rPr>
        <w:t xml:space="preserve">juridictionnelle </w:t>
      </w:r>
      <w:r w:rsidR="00551272" w:rsidRPr="00EF6F04">
        <w:rPr>
          <w:szCs w:val="20"/>
          <w:lang w:val="fr-FR"/>
        </w:rPr>
        <w:t>administrative</w:t>
      </w:r>
      <w:r w:rsidR="00220218" w:rsidRPr="00EF6F04">
        <w:rPr>
          <w:szCs w:val="20"/>
          <w:lang w:val="fr-FR"/>
        </w:rPr>
        <w:t xml:space="preserve"> qui s</w:t>
      </w:r>
      <w:r w:rsidR="00EF6F04" w:rsidRPr="00EF6F04">
        <w:rPr>
          <w:szCs w:val="20"/>
          <w:lang w:val="fr-FR"/>
        </w:rPr>
        <w:t>’</w:t>
      </w:r>
      <w:r w:rsidR="00220218" w:rsidRPr="00EF6F04">
        <w:rPr>
          <w:szCs w:val="20"/>
          <w:lang w:val="fr-FR"/>
        </w:rPr>
        <w:t>est terminé</w:t>
      </w:r>
      <w:r w:rsidR="00551272" w:rsidRPr="00EF6F04">
        <w:rPr>
          <w:szCs w:val="20"/>
          <w:lang w:val="fr-FR"/>
        </w:rPr>
        <w:t>e</w:t>
      </w:r>
      <w:r w:rsidR="00220218" w:rsidRPr="00EF6F04">
        <w:rPr>
          <w:szCs w:val="20"/>
          <w:lang w:val="fr-FR"/>
        </w:rPr>
        <w:t xml:space="preserve"> avant le 25 juin 2008, en raison exclusivement du manque d</w:t>
      </w:r>
      <w:r w:rsidR="00EF6F04" w:rsidRPr="00EF6F04">
        <w:rPr>
          <w:szCs w:val="20"/>
          <w:lang w:val="fr-FR"/>
        </w:rPr>
        <w:t>’</w:t>
      </w:r>
      <w:r w:rsidR="00220218" w:rsidRPr="00EF6F04">
        <w:rPr>
          <w:szCs w:val="20"/>
          <w:lang w:val="fr-FR"/>
        </w:rPr>
        <w:t>une demande de fixation en urgence de l</w:t>
      </w:r>
      <w:r w:rsidR="00EF6F04" w:rsidRPr="00EF6F04">
        <w:rPr>
          <w:szCs w:val="20"/>
          <w:lang w:val="fr-FR"/>
        </w:rPr>
        <w:t>’</w:t>
      </w:r>
      <w:r w:rsidR="00220218" w:rsidRPr="00EF6F04">
        <w:rPr>
          <w:szCs w:val="20"/>
          <w:lang w:val="fr-FR"/>
        </w:rPr>
        <w:t>audience, pourrait être de nature à exempter les requérants intéressés de l</w:t>
      </w:r>
      <w:r w:rsidR="00EF6F04" w:rsidRPr="00EF6F04">
        <w:rPr>
          <w:szCs w:val="20"/>
          <w:lang w:val="fr-FR"/>
        </w:rPr>
        <w:t>’</w:t>
      </w:r>
      <w:r w:rsidR="00220218" w:rsidRPr="00EF6F04">
        <w:rPr>
          <w:szCs w:val="20"/>
          <w:lang w:val="fr-FR"/>
        </w:rPr>
        <w:t>obligation d</w:t>
      </w:r>
      <w:r w:rsidR="00EF6F04" w:rsidRPr="00EF6F04">
        <w:rPr>
          <w:szCs w:val="20"/>
          <w:lang w:val="fr-FR"/>
        </w:rPr>
        <w:t>’</w:t>
      </w:r>
      <w:r w:rsidR="00220218" w:rsidRPr="00EF6F04">
        <w:rPr>
          <w:szCs w:val="20"/>
          <w:lang w:val="fr-FR"/>
        </w:rPr>
        <w:t>épuiser le recours « Pinto ».</w:t>
      </w:r>
      <w:r w:rsidR="00074376" w:rsidRPr="00EF6F04">
        <w:rPr>
          <w:szCs w:val="20"/>
          <w:lang w:val="fr-FR"/>
        </w:rPr>
        <w:t xml:space="preserve"> </w:t>
      </w:r>
      <w:r w:rsidR="00220218" w:rsidRPr="00EF6F04">
        <w:rPr>
          <w:szCs w:val="20"/>
          <w:lang w:val="fr-FR"/>
        </w:rPr>
        <w:t>Il en serait de même par rapport aux procédures encore pendantes dans lesquelles la fixation en urgence de l</w:t>
      </w:r>
      <w:r w:rsidR="00EF6F04" w:rsidRPr="00EF6F04">
        <w:rPr>
          <w:szCs w:val="20"/>
          <w:lang w:val="fr-FR"/>
        </w:rPr>
        <w:t>’</w:t>
      </w:r>
      <w:r w:rsidR="00220218" w:rsidRPr="00EF6F04">
        <w:rPr>
          <w:szCs w:val="20"/>
          <w:lang w:val="fr-FR"/>
        </w:rPr>
        <w:t>audience a été sollicitée seulement après l</w:t>
      </w:r>
      <w:r w:rsidR="00EF6F04" w:rsidRPr="00EF6F04">
        <w:rPr>
          <w:szCs w:val="20"/>
          <w:lang w:val="fr-FR"/>
        </w:rPr>
        <w:t>’</w:t>
      </w:r>
      <w:r w:rsidR="00220218" w:rsidRPr="00EF6F04">
        <w:rPr>
          <w:szCs w:val="20"/>
          <w:lang w:val="fr-FR"/>
        </w:rPr>
        <w:t>entrée en vigueur de la disposition en question. Dans ces cas, on ne peut pas exclure qu</w:t>
      </w:r>
      <w:r w:rsidR="00EF6F04" w:rsidRPr="00EF6F04">
        <w:rPr>
          <w:szCs w:val="20"/>
          <w:lang w:val="fr-FR"/>
        </w:rPr>
        <w:t>’</w:t>
      </w:r>
      <w:r w:rsidR="00220218" w:rsidRPr="00EF6F04">
        <w:rPr>
          <w:szCs w:val="20"/>
          <w:lang w:val="fr-FR"/>
        </w:rPr>
        <w:t>elle soit interprétée par les juges nationaux dans le sens d</w:t>
      </w:r>
      <w:r w:rsidR="00EF6F04" w:rsidRPr="00EF6F04">
        <w:rPr>
          <w:szCs w:val="20"/>
          <w:lang w:val="fr-FR"/>
        </w:rPr>
        <w:t>’</w:t>
      </w:r>
      <w:r w:rsidR="00220218" w:rsidRPr="00EF6F04">
        <w:rPr>
          <w:szCs w:val="20"/>
          <w:lang w:val="fr-FR"/>
        </w:rPr>
        <w:t xml:space="preserve">écarter de la détermination de la durée indemnisable toute période antérieure au 25 juin 2008. Une telle pratique pourrait en effet priver de façon systématique certaines catégories </w:t>
      </w:r>
      <w:r w:rsidR="00220218" w:rsidRPr="00EF6F04">
        <w:rPr>
          <w:szCs w:val="20"/>
          <w:lang w:val="fr-FR"/>
        </w:rPr>
        <w:lastRenderedPageBreak/>
        <w:t>de requérants de la possibilité d</w:t>
      </w:r>
      <w:r w:rsidR="00EF6F04" w:rsidRPr="00EF6F04">
        <w:rPr>
          <w:szCs w:val="20"/>
          <w:lang w:val="fr-FR"/>
        </w:rPr>
        <w:t>’</w:t>
      </w:r>
      <w:r w:rsidR="00220218" w:rsidRPr="00EF6F04">
        <w:rPr>
          <w:szCs w:val="20"/>
          <w:lang w:val="fr-FR"/>
        </w:rPr>
        <w:t>obtenir, dans le cadre « Pinto », un redressement approprié et suffisant »</w:t>
      </w:r>
      <w:r w:rsidR="00D6513C" w:rsidRPr="00EF6F04">
        <w:rPr>
          <w:szCs w:val="20"/>
          <w:lang w:val="fr-FR"/>
        </w:rPr>
        <w:t xml:space="preserve"> (</w:t>
      </w:r>
      <w:r w:rsidR="00D6513C" w:rsidRPr="00EF6F04">
        <w:rPr>
          <w:i/>
          <w:szCs w:val="20"/>
          <w:lang w:val="fr-FR"/>
        </w:rPr>
        <w:t>Daddi</w:t>
      </w:r>
      <w:r w:rsidR="00D6513C" w:rsidRPr="00EF6F04">
        <w:rPr>
          <w:szCs w:val="20"/>
          <w:lang w:val="fr-FR"/>
        </w:rPr>
        <w:t xml:space="preserve"> précité</w:t>
      </w:r>
      <w:r w:rsidR="00551272" w:rsidRPr="00EF6F04">
        <w:rPr>
          <w:szCs w:val="20"/>
          <w:lang w:val="fr-FR"/>
        </w:rPr>
        <w:t>e</w:t>
      </w:r>
      <w:r w:rsidR="00D6513C" w:rsidRPr="00EF6F04">
        <w:rPr>
          <w:szCs w:val="20"/>
          <w:lang w:val="fr-FR"/>
        </w:rPr>
        <w:t>)</w:t>
      </w:r>
      <w:r w:rsidR="00220218" w:rsidRPr="00EF6F04">
        <w:rPr>
          <w:szCs w:val="20"/>
          <w:lang w:val="fr-FR"/>
        </w:rPr>
        <w:t>.</w:t>
      </w:r>
    </w:p>
    <w:p w:rsidR="00937E6D" w:rsidRPr="00EF6F04" w:rsidRDefault="00937E6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69</w:t>
      </w:r>
      <w:r w:rsidRPr="00EF6F04">
        <w:rPr>
          <w:lang w:val="fr-FR"/>
        </w:rPr>
        <w:fldChar w:fldCharType="end"/>
      </w:r>
      <w:r w:rsidRPr="00EF6F04">
        <w:rPr>
          <w:lang w:val="fr-FR"/>
        </w:rPr>
        <w:t>.  </w:t>
      </w:r>
      <w:r w:rsidR="007759B1" w:rsidRPr="00EF6F04">
        <w:rPr>
          <w:lang w:val="fr-FR"/>
        </w:rPr>
        <w:t>Cette même conclusion s</w:t>
      </w:r>
      <w:r w:rsidR="00EF6F04" w:rsidRPr="00EF6F04">
        <w:rPr>
          <w:lang w:val="fr-FR"/>
        </w:rPr>
        <w:t>’</w:t>
      </w:r>
      <w:r w:rsidR="007759B1" w:rsidRPr="00EF6F04">
        <w:rPr>
          <w:lang w:val="fr-FR"/>
        </w:rPr>
        <w:t>applique à</w:t>
      </w:r>
      <w:r w:rsidRPr="00EF6F04">
        <w:rPr>
          <w:lang w:val="fr-FR"/>
        </w:rPr>
        <w:t xml:space="preserve"> la nouvelle formulation de l</w:t>
      </w:r>
      <w:r w:rsidR="00EF6F04" w:rsidRPr="00EF6F04">
        <w:rPr>
          <w:lang w:val="fr-FR"/>
        </w:rPr>
        <w:t>’</w:t>
      </w:r>
      <w:r w:rsidRPr="00EF6F04">
        <w:rPr>
          <w:lang w:val="fr-FR"/>
        </w:rPr>
        <w:t>article 54, alinéa 2, du décret-loi n</w:t>
      </w:r>
      <w:r w:rsidRPr="00EF6F04">
        <w:rPr>
          <w:vertAlign w:val="superscript"/>
          <w:lang w:val="fr-FR"/>
        </w:rPr>
        <w:t>o</w:t>
      </w:r>
      <w:r w:rsidRPr="00EF6F04">
        <w:rPr>
          <w:lang w:val="fr-FR"/>
        </w:rPr>
        <w:t xml:space="preserve"> 112 de 2008 (tel que modifié par le décret-législatif n</w:t>
      </w:r>
      <w:r w:rsidRPr="00EF6F04">
        <w:rPr>
          <w:vertAlign w:val="superscript"/>
          <w:lang w:val="fr-FR"/>
        </w:rPr>
        <w:t>o</w:t>
      </w:r>
      <w:r w:rsidR="00F749C2" w:rsidRPr="00EF6F04">
        <w:rPr>
          <w:lang w:val="fr-FR"/>
        </w:rPr>
        <w:t> </w:t>
      </w:r>
      <w:r w:rsidRPr="00EF6F04">
        <w:rPr>
          <w:lang w:val="fr-FR"/>
        </w:rPr>
        <w:t>104 du 2 juillet 2010)</w:t>
      </w:r>
      <w:r w:rsidR="007759B1" w:rsidRPr="00EF6F04">
        <w:rPr>
          <w:lang w:val="fr-FR"/>
        </w:rPr>
        <w:t>.</w:t>
      </w:r>
    </w:p>
    <w:p w:rsidR="00F23A84" w:rsidRPr="00EF6F04" w:rsidRDefault="00F23A84" w:rsidP="00EF6F04">
      <w:pPr>
        <w:pStyle w:val="ECHRPara"/>
        <w:rPr>
          <w:lang w:val="fr-FR"/>
        </w:rPr>
      </w:pPr>
      <w:r w:rsidRPr="00EF6F04">
        <w:rPr>
          <w:rStyle w:val="ECHRParaChar"/>
          <w:lang w:val="fr-FR"/>
        </w:rPr>
        <w:fldChar w:fldCharType="begin"/>
      </w:r>
      <w:r w:rsidRPr="00EF6F04">
        <w:rPr>
          <w:rStyle w:val="ECHRParaChar"/>
          <w:lang w:val="fr-FR"/>
        </w:rPr>
        <w:instrText xml:space="preserve"> SEQ level0 \*arabic </w:instrText>
      </w:r>
      <w:r w:rsidRPr="00EF6F04">
        <w:rPr>
          <w:rStyle w:val="ECHRParaChar"/>
          <w:lang w:val="fr-FR"/>
        </w:rPr>
        <w:fldChar w:fldCharType="separate"/>
      </w:r>
      <w:r w:rsidR="00EF6F04" w:rsidRPr="00EF6F04">
        <w:rPr>
          <w:rStyle w:val="ECHRParaChar"/>
          <w:noProof/>
          <w:lang w:val="fr-FR"/>
        </w:rPr>
        <w:t>70</w:t>
      </w:r>
      <w:r w:rsidRPr="00EF6F04">
        <w:rPr>
          <w:rStyle w:val="ECHRParaChar"/>
          <w:lang w:val="fr-FR"/>
        </w:rPr>
        <w:fldChar w:fldCharType="end"/>
      </w:r>
      <w:r w:rsidRPr="00EF6F04">
        <w:rPr>
          <w:rStyle w:val="ECHRParaChar"/>
          <w:lang w:val="fr-FR"/>
        </w:rPr>
        <w:t>.  La Cour réitère que l</w:t>
      </w:r>
      <w:r w:rsidR="00EF6F04" w:rsidRPr="00EF6F04">
        <w:rPr>
          <w:rStyle w:val="ECHRParaChar"/>
          <w:lang w:val="fr-FR"/>
        </w:rPr>
        <w:t>’</w:t>
      </w:r>
      <w:r w:rsidRPr="00EF6F04">
        <w:rPr>
          <w:rStyle w:val="ECHRParaChar"/>
          <w:lang w:val="fr-FR"/>
        </w:rPr>
        <w:t>article 13 de la Convention se fonde sur l</w:t>
      </w:r>
      <w:r w:rsidR="00EF6F04" w:rsidRPr="00EF6F04">
        <w:rPr>
          <w:rStyle w:val="ECHRParaChar"/>
          <w:lang w:val="fr-FR"/>
        </w:rPr>
        <w:t>’</w:t>
      </w:r>
      <w:r w:rsidRPr="00EF6F04">
        <w:rPr>
          <w:rStyle w:val="ECHRParaChar"/>
          <w:lang w:val="fr-FR"/>
        </w:rPr>
        <w:t>hypothèse que l</w:t>
      </w:r>
      <w:r w:rsidR="00EF6F04" w:rsidRPr="00EF6F04">
        <w:rPr>
          <w:rStyle w:val="ECHRParaChar"/>
          <w:lang w:val="fr-FR"/>
        </w:rPr>
        <w:t>’</w:t>
      </w:r>
      <w:r w:rsidRPr="00EF6F04">
        <w:rPr>
          <w:rStyle w:val="ECHRParaChar"/>
          <w:lang w:val="fr-FR"/>
        </w:rPr>
        <w:t>ordre interne offre un recours effectif quant à la violation alléguée (</w:t>
      </w:r>
      <w:r w:rsidRPr="00EF6F04">
        <w:rPr>
          <w:rStyle w:val="ECHRParaChar"/>
          <w:i/>
          <w:lang w:val="fr-FR"/>
        </w:rPr>
        <w:t xml:space="preserve">Selmouni </w:t>
      </w:r>
      <w:r w:rsidR="00551272" w:rsidRPr="00EF6F04">
        <w:rPr>
          <w:rStyle w:val="ECHRParaChar"/>
          <w:lang w:val="fr-FR"/>
        </w:rPr>
        <w:t>précité</w:t>
      </w:r>
      <w:r w:rsidRPr="00EF6F04">
        <w:rPr>
          <w:rStyle w:val="ECHRParaChar"/>
          <w:lang w:val="fr-FR"/>
        </w:rPr>
        <w:t xml:space="preserve">, § 74, et </w:t>
      </w:r>
      <w:r w:rsidRPr="00EF6F04">
        <w:rPr>
          <w:rStyle w:val="ECHRParaChar"/>
          <w:i/>
          <w:lang w:val="fr-FR"/>
        </w:rPr>
        <w:t xml:space="preserve">Kudła </w:t>
      </w:r>
      <w:r w:rsidRPr="00EF6F04">
        <w:rPr>
          <w:rStyle w:val="ECHRParaChar"/>
          <w:lang w:val="fr-FR"/>
        </w:rPr>
        <w:t>précité, § 152). Elle rappelle qu</w:t>
      </w:r>
      <w:r w:rsidR="00EF6F04" w:rsidRPr="00EF6F04">
        <w:rPr>
          <w:rStyle w:val="ECHRParaChar"/>
          <w:lang w:val="fr-FR"/>
        </w:rPr>
        <w:t>’</w:t>
      </w:r>
      <w:r w:rsidRPr="00EF6F04">
        <w:rPr>
          <w:rStyle w:val="ECHRParaChar"/>
          <w:lang w:val="fr-FR"/>
        </w:rPr>
        <w:t>un recours dont la partie dispose pour se plaindre de la durée de la procédure est “effectif”, au sens de l</w:t>
      </w:r>
      <w:r w:rsidR="00EF6F04" w:rsidRPr="00EF6F04">
        <w:rPr>
          <w:rStyle w:val="ECHRParaChar"/>
          <w:lang w:val="fr-FR"/>
        </w:rPr>
        <w:t>’</w:t>
      </w:r>
      <w:r w:rsidRPr="00EF6F04">
        <w:rPr>
          <w:rStyle w:val="ECHRParaChar"/>
          <w:lang w:val="fr-FR"/>
        </w:rPr>
        <w:t>article 13 de la Convention, s</w:t>
      </w:r>
      <w:r w:rsidR="00EF6F04" w:rsidRPr="00EF6F04">
        <w:rPr>
          <w:rStyle w:val="ECHRParaChar"/>
          <w:lang w:val="fr-FR"/>
        </w:rPr>
        <w:t>’</w:t>
      </w:r>
      <w:r w:rsidRPr="00EF6F04">
        <w:rPr>
          <w:rStyle w:val="ECHRParaChar"/>
          <w:lang w:val="fr-FR"/>
        </w:rPr>
        <w:t>il permet d</w:t>
      </w:r>
      <w:r w:rsidR="00EF6F04" w:rsidRPr="00EF6F04">
        <w:rPr>
          <w:rStyle w:val="ECHRParaChar"/>
          <w:lang w:val="fr-FR"/>
        </w:rPr>
        <w:t>’</w:t>
      </w:r>
      <w:r w:rsidRPr="00EF6F04">
        <w:rPr>
          <w:rStyle w:val="ECHRParaChar"/>
          <w:lang w:val="fr-FR"/>
        </w:rPr>
        <w:t>éviter la survenance ou la continuation de la violation alléguée ou s</w:t>
      </w:r>
      <w:r w:rsidR="00EF6F04" w:rsidRPr="00EF6F04">
        <w:rPr>
          <w:rStyle w:val="ECHRParaChar"/>
          <w:lang w:val="fr-FR"/>
        </w:rPr>
        <w:t>’</w:t>
      </w:r>
      <w:r w:rsidRPr="00EF6F04">
        <w:rPr>
          <w:rStyle w:val="ECHRParaChar"/>
          <w:lang w:val="fr-FR"/>
        </w:rPr>
        <w:t>il permet de « fournir à l</w:t>
      </w:r>
      <w:r w:rsidR="00EF6F04" w:rsidRPr="00EF6F04">
        <w:rPr>
          <w:rStyle w:val="ECHRParaChar"/>
          <w:lang w:val="fr-FR"/>
        </w:rPr>
        <w:t>’</w:t>
      </w:r>
      <w:r w:rsidRPr="00EF6F04">
        <w:rPr>
          <w:rStyle w:val="ECHRParaChar"/>
          <w:lang w:val="fr-FR"/>
        </w:rPr>
        <w:t>intéressé un redressement approprié pour toute violation s</w:t>
      </w:r>
      <w:r w:rsidR="00EF6F04" w:rsidRPr="00EF6F04">
        <w:rPr>
          <w:rStyle w:val="ECHRParaChar"/>
          <w:lang w:val="fr-FR"/>
        </w:rPr>
        <w:t>’</w:t>
      </w:r>
      <w:r w:rsidRPr="00EF6F04">
        <w:rPr>
          <w:rStyle w:val="ECHRParaChar"/>
          <w:lang w:val="fr-FR"/>
        </w:rPr>
        <w:t>étant déjà produite » (</w:t>
      </w:r>
      <w:r w:rsidRPr="00EF6F04">
        <w:rPr>
          <w:rStyle w:val="ECHRParaChar"/>
          <w:i/>
          <w:lang w:val="fr-FR"/>
        </w:rPr>
        <w:t>ibidem</w:t>
      </w:r>
      <w:r w:rsidRPr="00EF6F04">
        <w:rPr>
          <w:rStyle w:val="ECHRParaChar"/>
          <w:lang w:val="fr-FR"/>
        </w:rPr>
        <w:t xml:space="preserve"> § 158). </w:t>
      </w:r>
      <w:r w:rsidRPr="00EF6F04">
        <w:rPr>
          <w:lang w:val="fr-FR"/>
        </w:rPr>
        <w:t>Ce qui n</w:t>
      </w:r>
      <w:r w:rsidR="00EF6F04" w:rsidRPr="00EF6F04">
        <w:rPr>
          <w:lang w:val="fr-FR"/>
        </w:rPr>
        <w:t>’</w:t>
      </w:r>
      <w:r w:rsidRPr="00EF6F04">
        <w:rPr>
          <w:lang w:val="fr-FR"/>
        </w:rPr>
        <w:t>est pas le cas dans les présentes affaires.</w:t>
      </w:r>
    </w:p>
    <w:p w:rsidR="006317C1" w:rsidRPr="00EF6F04" w:rsidRDefault="00937E6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71</w:t>
      </w:r>
      <w:r w:rsidRPr="00EF6F04">
        <w:rPr>
          <w:lang w:val="fr-FR"/>
        </w:rPr>
        <w:fldChar w:fldCharType="end"/>
      </w:r>
      <w:r w:rsidRPr="00EF6F04">
        <w:rPr>
          <w:lang w:val="fr-FR"/>
        </w:rPr>
        <w:t>.  </w:t>
      </w:r>
      <w:r w:rsidR="00BD5DB4" w:rsidRPr="00EF6F04">
        <w:rPr>
          <w:lang w:val="fr-FR"/>
        </w:rPr>
        <w:t xml:space="preserve">À la lumière de </w:t>
      </w:r>
      <w:r w:rsidR="00446B05" w:rsidRPr="00EF6F04">
        <w:rPr>
          <w:lang w:val="fr-FR"/>
        </w:rPr>
        <w:t xml:space="preserve">tout </w:t>
      </w:r>
      <w:r w:rsidR="00BD5DB4" w:rsidRPr="00EF6F04">
        <w:rPr>
          <w:lang w:val="fr-FR"/>
        </w:rPr>
        <w:t>ce qui précède, la Cour estime que l</w:t>
      </w:r>
      <w:r w:rsidR="00A9479A" w:rsidRPr="00EF6F04">
        <w:rPr>
          <w:lang w:val="fr-FR"/>
        </w:rPr>
        <w:t>a procédure</w:t>
      </w:r>
      <w:r w:rsidR="007C48C8" w:rsidRPr="00EF6F04">
        <w:rPr>
          <w:lang w:val="fr-FR"/>
        </w:rPr>
        <w:t xml:space="preserve"> pour se plaindre de la longueur excessive d</w:t>
      </w:r>
      <w:r w:rsidR="00EF6F04" w:rsidRPr="00EF6F04">
        <w:rPr>
          <w:lang w:val="fr-FR"/>
        </w:rPr>
        <w:t>’</w:t>
      </w:r>
      <w:r w:rsidR="007C48C8" w:rsidRPr="00EF6F04">
        <w:rPr>
          <w:lang w:val="fr-FR"/>
        </w:rPr>
        <w:t>une procédure juridictionnelle administrative</w:t>
      </w:r>
      <w:r w:rsidR="00A9479A" w:rsidRPr="00EF6F04">
        <w:rPr>
          <w:lang w:val="fr-FR"/>
        </w:rPr>
        <w:t>,</w:t>
      </w:r>
      <w:r w:rsidR="00446B05" w:rsidRPr="00EF6F04">
        <w:rPr>
          <w:lang w:val="fr-FR"/>
        </w:rPr>
        <w:t xml:space="preserve"> résultant de la lecture combinée de l</w:t>
      </w:r>
      <w:r w:rsidR="00EF6F04" w:rsidRPr="00EF6F04">
        <w:rPr>
          <w:lang w:val="fr-FR"/>
        </w:rPr>
        <w:t>’</w:t>
      </w:r>
      <w:r w:rsidR="00446B05" w:rsidRPr="00EF6F04">
        <w:rPr>
          <w:lang w:val="fr-FR"/>
        </w:rPr>
        <w:t>article 54</w:t>
      </w:r>
      <w:r w:rsidR="005E39A1" w:rsidRPr="00EF6F04">
        <w:rPr>
          <w:lang w:val="fr-FR"/>
        </w:rPr>
        <w:t>, alinéa 2,</w:t>
      </w:r>
      <w:r w:rsidR="00446B05" w:rsidRPr="00EF6F04">
        <w:rPr>
          <w:lang w:val="fr-FR"/>
        </w:rPr>
        <w:t xml:space="preserve"> d</w:t>
      </w:r>
      <w:r w:rsidR="007C48C8" w:rsidRPr="00EF6F04">
        <w:rPr>
          <w:lang w:val="fr-FR"/>
        </w:rPr>
        <w:t>u décret-loi</w:t>
      </w:r>
      <w:r w:rsidR="00446B05" w:rsidRPr="00EF6F04">
        <w:rPr>
          <w:lang w:val="fr-FR"/>
        </w:rPr>
        <w:t xml:space="preserve"> n</w:t>
      </w:r>
      <w:r w:rsidR="006317C1" w:rsidRPr="00EF6F04">
        <w:rPr>
          <w:vertAlign w:val="superscript"/>
          <w:lang w:val="fr-FR"/>
        </w:rPr>
        <w:t>o</w:t>
      </w:r>
      <w:r w:rsidR="00446B05" w:rsidRPr="00EF6F04">
        <w:rPr>
          <w:lang w:val="fr-FR"/>
        </w:rPr>
        <w:t xml:space="preserve"> </w:t>
      </w:r>
      <w:r w:rsidR="007C48C8" w:rsidRPr="00EF6F04">
        <w:rPr>
          <w:lang w:val="fr-FR"/>
        </w:rPr>
        <w:t>112 de 2008</w:t>
      </w:r>
      <w:r w:rsidR="00446B05" w:rsidRPr="00EF6F04">
        <w:rPr>
          <w:lang w:val="fr-FR"/>
        </w:rPr>
        <w:t xml:space="preserve"> et de la loi Pinto,</w:t>
      </w:r>
      <w:r w:rsidR="002C3B5E" w:rsidRPr="00EF6F04">
        <w:rPr>
          <w:lang w:val="fr-FR"/>
        </w:rPr>
        <w:t xml:space="preserve"> n</w:t>
      </w:r>
      <w:r w:rsidR="00BD5DB4" w:rsidRPr="00EF6F04">
        <w:rPr>
          <w:lang w:val="fr-FR"/>
        </w:rPr>
        <w:t>e peut pas être considérée comme un recours effectif au sens de l</w:t>
      </w:r>
      <w:r w:rsidR="00EF6F04" w:rsidRPr="00EF6F04">
        <w:rPr>
          <w:lang w:val="fr-FR"/>
        </w:rPr>
        <w:t>’</w:t>
      </w:r>
      <w:r w:rsidR="00BD5DB4" w:rsidRPr="00EF6F04">
        <w:rPr>
          <w:lang w:val="fr-FR"/>
        </w:rPr>
        <w:t>article</w:t>
      </w:r>
      <w:r w:rsidR="00DB0432" w:rsidRPr="00EF6F04">
        <w:rPr>
          <w:lang w:val="fr-FR"/>
        </w:rPr>
        <w:t xml:space="preserve"> 13</w:t>
      </w:r>
      <w:r w:rsidR="00BD5DB4" w:rsidRPr="00EF6F04">
        <w:rPr>
          <w:lang w:val="fr-FR"/>
        </w:rPr>
        <w:t xml:space="preserve"> de la Convention.</w:t>
      </w:r>
      <w:r w:rsidR="00F64E0D" w:rsidRPr="00EF6F04">
        <w:rPr>
          <w:lang w:val="fr-FR"/>
        </w:rPr>
        <w:t xml:space="preserve"> Il y a donc </w:t>
      </w:r>
      <w:r w:rsidR="005853C2" w:rsidRPr="00EF6F04">
        <w:rPr>
          <w:lang w:val="fr-FR"/>
        </w:rPr>
        <w:t>lieu de rejeter l</w:t>
      </w:r>
      <w:r w:rsidR="00EF6F04" w:rsidRPr="00EF6F04">
        <w:rPr>
          <w:lang w:val="fr-FR"/>
        </w:rPr>
        <w:t>’</w:t>
      </w:r>
      <w:r w:rsidR="005853C2" w:rsidRPr="00EF6F04">
        <w:rPr>
          <w:lang w:val="fr-FR"/>
        </w:rPr>
        <w:t>exception de non-épuisement soulevée par le Gouvernement et de conclure à la</w:t>
      </w:r>
      <w:r w:rsidR="00F64E0D" w:rsidRPr="00EF6F04">
        <w:rPr>
          <w:lang w:val="fr-FR"/>
        </w:rPr>
        <w:t xml:space="preserve"> violation de </w:t>
      </w:r>
      <w:r w:rsidR="005853C2" w:rsidRPr="00EF6F04">
        <w:rPr>
          <w:lang w:val="fr-FR"/>
        </w:rPr>
        <w:t>l</w:t>
      </w:r>
      <w:r w:rsidR="00EF6F04" w:rsidRPr="00EF6F04">
        <w:rPr>
          <w:lang w:val="fr-FR"/>
        </w:rPr>
        <w:t>’</w:t>
      </w:r>
      <w:r w:rsidR="005853C2" w:rsidRPr="00EF6F04">
        <w:rPr>
          <w:lang w:val="fr-FR"/>
        </w:rPr>
        <w:t>article 13 de la Convention</w:t>
      </w:r>
      <w:r w:rsidR="00F64E0D" w:rsidRPr="00EF6F04">
        <w:rPr>
          <w:lang w:val="fr-FR"/>
        </w:rPr>
        <w:t>.</w:t>
      </w:r>
    </w:p>
    <w:p w:rsidR="00E77CB3" w:rsidRPr="00EF6F04" w:rsidRDefault="00EF4526" w:rsidP="00EF6F04">
      <w:pPr>
        <w:pStyle w:val="ECHRHeading4"/>
        <w:rPr>
          <w:lang w:val="fr-FR"/>
        </w:rPr>
      </w:pPr>
      <w:r w:rsidRPr="00EF6F04">
        <w:rPr>
          <w:lang w:val="fr-FR"/>
        </w:rPr>
        <w:t>b</w:t>
      </w:r>
      <w:r w:rsidR="0094088B" w:rsidRPr="00EF6F04">
        <w:rPr>
          <w:lang w:val="fr-FR"/>
        </w:rPr>
        <w:t>)</w:t>
      </w:r>
      <w:r w:rsidR="00E77CB3" w:rsidRPr="00EF6F04">
        <w:rPr>
          <w:lang w:val="fr-FR"/>
        </w:rPr>
        <w:t>  </w:t>
      </w:r>
      <w:r w:rsidR="006A697D" w:rsidRPr="00EF6F04">
        <w:rPr>
          <w:lang w:val="fr-FR"/>
        </w:rPr>
        <w:t>Sur la violation alléguée de l</w:t>
      </w:r>
      <w:r w:rsidR="00EF6F04" w:rsidRPr="00EF6F04">
        <w:rPr>
          <w:lang w:val="fr-FR"/>
        </w:rPr>
        <w:t>’</w:t>
      </w:r>
      <w:r w:rsidR="006A697D" w:rsidRPr="00EF6F04">
        <w:rPr>
          <w:lang w:val="fr-FR"/>
        </w:rPr>
        <w:t>article 6 § 1 de la Convention</w:t>
      </w:r>
    </w:p>
    <w:p w:rsidR="009A4C42" w:rsidRPr="00EF6F04" w:rsidRDefault="00DB0432"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72</w:t>
      </w:r>
      <w:r w:rsidRPr="00EF6F04">
        <w:rPr>
          <w:lang w:val="fr-FR"/>
        </w:rPr>
        <w:fldChar w:fldCharType="end"/>
      </w:r>
      <w:r w:rsidRPr="00EF6F04">
        <w:rPr>
          <w:lang w:val="fr-FR"/>
        </w:rPr>
        <w:t>. </w:t>
      </w:r>
      <w:r w:rsidR="0063635E" w:rsidRPr="00EF6F04">
        <w:rPr>
          <w:lang w:val="fr-FR"/>
        </w:rPr>
        <w:t> </w:t>
      </w:r>
      <w:r w:rsidR="00676BC1" w:rsidRPr="00EF6F04">
        <w:rPr>
          <w:lang w:val="fr-FR"/>
        </w:rPr>
        <w:t>En ce qui concerne l</w:t>
      </w:r>
      <w:r w:rsidR="0073277E" w:rsidRPr="00EF6F04">
        <w:rPr>
          <w:lang w:val="fr-FR"/>
        </w:rPr>
        <w:t>a durée de la procédure</w:t>
      </w:r>
      <w:r w:rsidR="00257C3D" w:rsidRPr="00EF6F04">
        <w:rPr>
          <w:lang w:val="fr-FR"/>
        </w:rPr>
        <w:t xml:space="preserve"> des présentes affaires</w:t>
      </w:r>
      <w:r w:rsidR="0073277E" w:rsidRPr="00EF6F04">
        <w:rPr>
          <w:lang w:val="fr-FR"/>
        </w:rPr>
        <w:t>, l</w:t>
      </w:r>
      <w:r w:rsidR="003A4F3B" w:rsidRPr="00EF6F04">
        <w:rPr>
          <w:lang w:val="fr-FR"/>
        </w:rPr>
        <w:t>a période à considérer a débutée le 23 août 1990 et s</w:t>
      </w:r>
      <w:r w:rsidR="00EF6F04" w:rsidRPr="00EF6F04">
        <w:rPr>
          <w:lang w:val="fr-FR"/>
        </w:rPr>
        <w:t>’</w:t>
      </w:r>
      <w:r w:rsidR="003A4F3B" w:rsidRPr="00EF6F04">
        <w:rPr>
          <w:lang w:val="fr-FR"/>
        </w:rPr>
        <w:t>est terminée soit le 5</w:t>
      </w:r>
      <w:r w:rsidR="00B62111" w:rsidRPr="00EF6F04">
        <w:rPr>
          <w:lang w:val="fr-FR"/>
        </w:rPr>
        <w:t> </w:t>
      </w:r>
      <w:r w:rsidR="003A4F3B" w:rsidRPr="00EF6F04">
        <w:rPr>
          <w:lang w:val="fr-FR"/>
        </w:rPr>
        <w:t>décembre 2</w:t>
      </w:r>
      <w:r w:rsidR="00807E74" w:rsidRPr="00EF6F04">
        <w:rPr>
          <w:lang w:val="fr-FR"/>
        </w:rPr>
        <w:t>008, soit le 13 mars 2009 (</w:t>
      </w:r>
      <w:r w:rsidR="003A4F3B" w:rsidRPr="00EF6F04">
        <w:rPr>
          <w:lang w:val="fr-FR"/>
        </w:rPr>
        <w:t>voir tableau en annexe).</w:t>
      </w:r>
    </w:p>
    <w:p w:rsidR="00807E74" w:rsidRPr="00EF6F04" w:rsidRDefault="003A4F3B"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73</w:t>
      </w:r>
      <w:r w:rsidRPr="00EF6F04">
        <w:rPr>
          <w:lang w:val="fr-FR"/>
        </w:rPr>
        <w:fldChar w:fldCharType="end"/>
      </w:r>
      <w:r w:rsidRPr="00EF6F04">
        <w:rPr>
          <w:lang w:val="fr-FR"/>
        </w:rPr>
        <w:t xml:space="preserve">.  La Cour </w:t>
      </w:r>
      <w:r w:rsidR="004B2797" w:rsidRPr="00EF6F04">
        <w:rPr>
          <w:lang w:val="fr-FR"/>
        </w:rPr>
        <w:t>note</w:t>
      </w:r>
      <w:r w:rsidRPr="00EF6F04">
        <w:rPr>
          <w:lang w:val="fr-FR"/>
        </w:rPr>
        <w:t xml:space="preserve"> que, selon le</w:t>
      </w:r>
      <w:r w:rsidR="00A23715" w:rsidRPr="00EF6F04">
        <w:rPr>
          <w:lang w:val="fr-FR"/>
        </w:rPr>
        <w:t xml:space="preserve"> Gouvernement</w:t>
      </w:r>
      <w:r w:rsidR="004B2797" w:rsidRPr="00EF6F04">
        <w:rPr>
          <w:lang w:val="fr-FR"/>
        </w:rPr>
        <w:t xml:space="preserve"> défendeur</w:t>
      </w:r>
      <w:r w:rsidRPr="00EF6F04">
        <w:rPr>
          <w:lang w:val="fr-FR"/>
        </w:rPr>
        <w:t>,</w:t>
      </w:r>
      <w:r w:rsidR="00A23715" w:rsidRPr="00EF6F04">
        <w:rPr>
          <w:lang w:val="fr-FR"/>
        </w:rPr>
        <w:t xml:space="preserve"> </w:t>
      </w:r>
      <w:r w:rsidR="00964C4B" w:rsidRPr="00EF6F04">
        <w:rPr>
          <w:lang w:val="fr-FR"/>
        </w:rPr>
        <w:t>les requérants n</w:t>
      </w:r>
      <w:r w:rsidR="00EF6F04" w:rsidRPr="00EF6F04">
        <w:rPr>
          <w:lang w:val="fr-FR"/>
        </w:rPr>
        <w:t>’</w:t>
      </w:r>
      <w:r w:rsidR="00964C4B" w:rsidRPr="00EF6F04">
        <w:rPr>
          <w:lang w:val="fr-FR"/>
        </w:rPr>
        <w:t xml:space="preserve">auraient pas montré un véritable intérêt à la conclusion des </w:t>
      </w:r>
      <w:r w:rsidR="00807E74" w:rsidRPr="00EF6F04">
        <w:rPr>
          <w:lang w:val="fr-FR"/>
        </w:rPr>
        <w:t>procédures</w:t>
      </w:r>
      <w:r w:rsidR="00964C4B" w:rsidRPr="00EF6F04">
        <w:rPr>
          <w:lang w:val="fr-FR"/>
        </w:rPr>
        <w:t xml:space="preserve">. </w:t>
      </w:r>
      <w:r w:rsidR="007759B1" w:rsidRPr="00EF6F04">
        <w:rPr>
          <w:lang w:val="fr-FR"/>
        </w:rPr>
        <w:t>Il</w:t>
      </w:r>
      <w:r w:rsidR="00964C4B" w:rsidRPr="00EF6F04">
        <w:rPr>
          <w:lang w:val="fr-FR"/>
        </w:rPr>
        <w:t xml:space="preserve"> soutient </w:t>
      </w:r>
      <w:r w:rsidR="007759B1" w:rsidRPr="00EF6F04">
        <w:rPr>
          <w:lang w:val="fr-FR"/>
        </w:rPr>
        <w:t xml:space="preserve">également </w:t>
      </w:r>
      <w:r w:rsidR="00964C4B" w:rsidRPr="00EF6F04">
        <w:rPr>
          <w:lang w:val="fr-FR"/>
        </w:rPr>
        <w:t>l</w:t>
      </w:r>
      <w:r w:rsidR="00EF6F04" w:rsidRPr="00EF6F04">
        <w:rPr>
          <w:lang w:val="fr-FR"/>
        </w:rPr>
        <w:t>’</w:t>
      </w:r>
      <w:r w:rsidR="00964C4B" w:rsidRPr="00EF6F04">
        <w:rPr>
          <w:lang w:val="fr-FR"/>
        </w:rPr>
        <w:t>absence de souffrance des requérants, compte tenu du caractère manifestement mal fondé de leurs prétentions.</w:t>
      </w:r>
      <w:r w:rsidR="00807E74" w:rsidRPr="00EF6F04">
        <w:rPr>
          <w:lang w:val="fr-FR"/>
        </w:rPr>
        <w:t xml:space="preserve"> </w:t>
      </w:r>
      <w:r w:rsidR="008B1E64" w:rsidRPr="00EF6F04">
        <w:rPr>
          <w:lang w:val="fr-FR"/>
        </w:rPr>
        <w:t>De leur côté, l</w:t>
      </w:r>
      <w:r w:rsidR="00807E74" w:rsidRPr="00EF6F04">
        <w:rPr>
          <w:lang w:val="fr-FR"/>
        </w:rPr>
        <w:t>es requérants se plaignent de la durée des procédures, jugée excessive.</w:t>
      </w:r>
    </w:p>
    <w:p w:rsidR="00A23715" w:rsidRPr="00EF6F04" w:rsidRDefault="00A23715"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74</w:t>
      </w:r>
      <w:r w:rsidRPr="00EF6F04">
        <w:rPr>
          <w:lang w:val="fr-FR"/>
        </w:rPr>
        <w:fldChar w:fldCharType="end"/>
      </w:r>
      <w:r w:rsidRPr="00EF6F04">
        <w:rPr>
          <w:lang w:val="fr-FR"/>
        </w:rPr>
        <w:t>.  </w:t>
      </w:r>
      <w:r w:rsidR="004B2797" w:rsidRPr="00EF6F04">
        <w:rPr>
          <w:lang w:val="fr-FR"/>
        </w:rPr>
        <w:t>L</w:t>
      </w:r>
      <w:r w:rsidRPr="00EF6F04">
        <w:rPr>
          <w:lang w:val="fr-FR"/>
        </w:rPr>
        <w:t xml:space="preserve">a Cour </w:t>
      </w:r>
      <w:r w:rsidR="004B2797" w:rsidRPr="00EF6F04">
        <w:rPr>
          <w:lang w:val="fr-FR"/>
        </w:rPr>
        <w:t>relève</w:t>
      </w:r>
      <w:r w:rsidR="0061642D" w:rsidRPr="00EF6F04">
        <w:rPr>
          <w:lang w:val="fr-FR"/>
        </w:rPr>
        <w:t xml:space="preserve"> qu</w:t>
      </w:r>
      <w:r w:rsidR="00EF6F04" w:rsidRPr="00EF6F04">
        <w:rPr>
          <w:lang w:val="fr-FR"/>
        </w:rPr>
        <w:t>’</w:t>
      </w:r>
      <w:r w:rsidRPr="00EF6F04">
        <w:rPr>
          <w:lang w:val="fr-FR"/>
        </w:rPr>
        <w:t>il ressort des dossiers que chaque partie a présenté deux demandes de fixation de l</w:t>
      </w:r>
      <w:r w:rsidR="00EF6F04" w:rsidRPr="00EF6F04">
        <w:rPr>
          <w:lang w:val="fr-FR"/>
        </w:rPr>
        <w:t>’</w:t>
      </w:r>
      <w:r w:rsidRPr="00EF6F04">
        <w:rPr>
          <w:lang w:val="fr-FR"/>
        </w:rPr>
        <w:t>audience</w:t>
      </w:r>
      <w:r w:rsidR="0061642D" w:rsidRPr="00EF6F04">
        <w:rPr>
          <w:lang w:val="fr-FR"/>
        </w:rPr>
        <w:t xml:space="preserve"> au cours de la procédure juridictionnelle administrative.</w:t>
      </w:r>
      <w:r w:rsidRPr="00EF6F04">
        <w:rPr>
          <w:lang w:val="fr-FR"/>
        </w:rPr>
        <w:t xml:space="preserve"> </w:t>
      </w:r>
      <w:r w:rsidR="0061642D" w:rsidRPr="00EF6F04">
        <w:rPr>
          <w:lang w:val="fr-FR"/>
        </w:rPr>
        <w:t>Par la suite, d</w:t>
      </w:r>
      <w:r w:rsidRPr="00EF6F04">
        <w:rPr>
          <w:lang w:val="fr-FR"/>
        </w:rPr>
        <w:t xml:space="preserve">ans le cadre de la procédure « Pinto », </w:t>
      </w:r>
      <w:r w:rsidR="0061642D" w:rsidRPr="00EF6F04">
        <w:rPr>
          <w:lang w:val="fr-FR"/>
        </w:rPr>
        <w:t>les requérants</w:t>
      </w:r>
      <w:r w:rsidRPr="00EF6F04">
        <w:rPr>
          <w:lang w:val="fr-FR"/>
        </w:rPr>
        <w:t xml:space="preserve"> ont</w:t>
      </w:r>
      <w:r w:rsidR="0061642D" w:rsidRPr="00EF6F04">
        <w:rPr>
          <w:lang w:val="fr-FR"/>
        </w:rPr>
        <w:t xml:space="preserve"> présenté </w:t>
      </w:r>
      <w:r w:rsidR="004B2797" w:rsidRPr="00EF6F04">
        <w:rPr>
          <w:lang w:val="fr-FR"/>
        </w:rPr>
        <w:t>tous</w:t>
      </w:r>
      <w:r w:rsidR="0061642D" w:rsidRPr="00EF6F04">
        <w:rPr>
          <w:lang w:val="fr-FR"/>
        </w:rPr>
        <w:t xml:space="preserve"> un recours devant la cour d</w:t>
      </w:r>
      <w:r w:rsidR="00EF6F04" w:rsidRPr="00EF6F04">
        <w:rPr>
          <w:lang w:val="fr-FR"/>
        </w:rPr>
        <w:t>’</w:t>
      </w:r>
      <w:r w:rsidR="0061642D" w:rsidRPr="00EF6F04">
        <w:rPr>
          <w:lang w:val="fr-FR"/>
        </w:rPr>
        <w:t xml:space="preserve">appel compétente </w:t>
      </w:r>
      <w:r w:rsidR="0061642D" w:rsidRPr="00EF6F04">
        <w:rPr>
          <w:i/>
          <w:lang w:val="fr-FR"/>
        </w:rPr>
        <w:t>ratione loci</w:t>
      </w:r>
      <w:r w:rsidR="0061642D" w:rsidRPr="00EF6F04">
        <w:rPr>
          <w:lang w:val="fr-FR"/>
        </w:rPr>
        <w:t>, puis</w:t>
      </w:r>
      <w:r w:rsidRPr="00EF6F04">
        <w:rPr>
          <w:lang w:val="fr-FR"/>
        </w:rPr>
        <w:t xml:space="preserve"> formé un pourvoi en cassation</w:t>
      </w:r>
      <w:r w:rsidR="0061642D" w:rsidRPr="00EF6F04">
        <w:rPr>
          <w:lang w:val="fr-FR"/>
        </w:rPr>
        <w:t xml:space="preserve"> contre le rejet de cette dernière</w:t>
      </w:r>
      <w:r w:rsidRPr="00EF6F04">
        <w:rPr>
          <w:lang w:val="fr-FR"/>
        </w:rPr>
        <w:t>. Par conséquent, l</w:t>
      </w:r>
      <w:r w:rsidR="00EF6F04" w:rsidRPr="00EF6F04">
        <w:rPr>
          <w:lang w:val="fr-FR"/>
        </w:rPr>
        <w:t>’</w:t>
      </w:r>
      <w:r w:rsidRPr="00EF6F04">
        <w:rPr>
          <w:lang w:val="fr-FR"/>
        </w:rPr>
        <w:t>intérêt des requérants à la conclusion des procédures ne saurait être mis en doute.</w:t>
      </w:r>
    </w:p>
    <w:p w:rsidR="00257C3D" w:rsidRPr="00EF6F04" w:rsidRDefault="00257C3D"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75</w:t>
      </w:r>
      <w:r w:rsidRPr="00EF6F04">
        <w:rPr>
          <w:lang w:val="fr-FR"/>
        </w:rPr>
        <w:fldChar w:fldCharType="end"/>
      </w:r>
      <w:r w:rsidRPr="00EF6F04">
        <w:rPr>
          <w:lang w:val="fr-FR"/>
        </w:rPr>
        <w:t>.  </w:t>
      </w:r>
      <w:r w:rsidR="0061642D" w:rsidRPr="00EF6F04">
        <w:rPr>
          <w:lang w:val="fr-FR"/>
        </w:rPr>
        <w:t>Quant à la durée de la procédure, l</w:t>
      </w:r>
      <w:r w:rsidRPr="00EF6F04">
        <w:rPr>
          <w:lang w:val="fr-FR"/>
        </w:rPr>
        <w:t>a Cour a traité à maintes reprises des requêtes soulevant des questions semblables à celle d</w:t>
      </w:r>
      <w:r w:rsidR="00A23715" w:rsidRPr="00EF6F04">
        <w:rPr>
          <w:lang w:val="fr-FR"/>
        </w:rPr>
        <w:t>es</w:t>
      </w:r>
      <w:r w:rsidRPr="00EF6F04">
        <w:rPr>
          <w:lang w:val="fr-FR"/>
        </w:rPr>
        <w:t xml:space="preserve"> cas d</w:t>
      </w:r>
      <w:r w:rsidR="00EF6F04" w:rsidRPr="00EF6F04">
        <w:rPr>
          <w:lang w:val="fr-FR"/>
        </w:rPr>
        <w:t>’</w:t>
      </w:r>
      <w:r w:rsidRPr="00EF6F04">
        <w:rPr>
          <w:lang w:val="fr-FR"/>
        </w:rPr>
        <w:t>espèce et a constaté une méconnaissance de l</w:t>
      </w:r>
      <w:r w:rsidR="00EF6F04" w:rsidRPr="00EF6F04">
        <w:rPr>
          <w:lang w:val="fr-FR"/>
        </w:rPr>
        <w:t>’</w:t>
      </w:r>
      <w:r w:rsidRPr="00EF6F04">
        <w:rPr>
          <w:lang w:val="fr-FR"/>
        </w:rPr>
        <w:t xml:space="preserve">exigence du « délai raisonnable », compte tenu des critères dégagés par sa jurisprudence bien établie en la matière (voir, en premier lieu, </w:t>
      </w:r>
      <w:r w:rsidRPr="00EF6F04">
        <w:rPr>
          <w:i/>
          <w:lang w:val="fr-FR"/>
        </w:rPr>
        <w:t>Cocchiarella</w:t>
      </w:r>
      <w:r w:rsidRPr="00EF6F04">
        <w:rPr>
          <w:lang w:val="fr-FR"/>
        </w:rPr>
        <w:t xml:space="preserve"> précité).</w:t>
      </w:r>
    </w:p>
    <w:p w:rsidR="00E16EF2" w:rsidRPr="00EF6F04" w:rsidRDefault="00257C3D" w:rsidP="00EF6F04">
      <w:pPr>
        <w:pStyle w:val="ECHRPara"/>
        <w:rPr>
          <w:lang w:val="fr-FR"/>
        </w:rPr>
      </w:pPr>
      <w:r w:rsidRPr="00EF6F04">
        <w:rPr>
          <w:lang w:val="fr-FR"/>
        </w:rPr>
        <w:lastRenderedPageBreak/>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76</w:t>
      </w:r>
      <w:r w:rsidRPr="00EF6F04">
        <w:rPr>
          <w:lang w:val="fr-FR"/>
        </w:rPr>
        <w:fldChar w:fldCharType="end"/>
      </w:r>
      <w:r w:rsidRPr="00EF6F04">
        <w:rPr>
          <w:lang w:val="fr-FR"/>
        </w:rPr>
        <w:t>.  N</w:t>
      </w:r>
      <w:r w:rsidR="00EF6F04" w:rsidRPr="00EF6F04">
        <w:rPr>
          <w:lang w:val="fr-FR"/>
        </w:rPr>
        <w:t>’</w:t>
      </w:r>
      <w:r w:rsidRPr="00EF6F04">
        <w:rPr>
          <w:lang w:val="fr-FR"/>
        </w:rPr>
        <w:t xml:space="preserve">apercevant </w:t>
      </w:r>
      <w:r w:rsidR="0017026E" w:rsidRPr="00EF6F04">
        <w:rPr>
          <w:lang w:val="fr-FR"/>
        </w:rPr>
        <w:t xml:space="preserve">aucune raison de se départir de ses précédentes conclusions, </w:t>
      </w:r>
      <w:r w:rsidRPr="00EF6F04">
        <w:rPr>
          <w:lang w:val="fr-FR"/>
        </w:rPr>
        <w:t>la Cour estime qu</w:t>
      </w:r>
      <w:r w:rsidR="00EF6F04" w:rsidRPr="00EF6F04">
        <w:rPr>
          <w:lang w:val="fr-FR"/>
        </w:rPr>
        <w:t>’</w:t>
      </w:r>
      <w:r w:rsidRPr="00EF6F04">
        <w:rPr>
          <w:lang w:val="fr-FR"/>
        </w:rPr>
        <w:t>il y a lieu de constater une violation de l</w:t>
      </w:r>
      <w:r w:rsidR="00EF6F04" w:rsidRPr="00EF6F04">
        <w:rPr>
          <w:lang w:val="fr-FR"/>
        </w:rPr>
        <w:t>’</w:t>
      </w:r>
      <w:r w:rsidRPr="00EF6F04">
        <w:rPr>
          <w:lang w:val="fr-FR"/>
        </w:rPr>
        <w:t>article 6 § 1 de la Convention pour les mêmes motifs.</w:t>
      </w:r>
    </w:p>
    <w:p w:rsidR="00E77CB3" w:rsidRPr="00EF6F04" w:rsidRDefault="006A697D" w:rsidP="00EF6F04">
      <w:pPr>
        <w:pStyle w:val="ECHRHeading1"/>
        <w:rPr>
          <w:lang w:val="fr-FR"/>
        </w:rPr>
      </w:pPr>
      <w:r w:rsidRPr="00EF6F04">
        <w:rPr>
          <w:lang w:val="fr-FR"/>
        </w:rPr>
        <w:t>I</w:t>
      </w:r>
      <w:r w:rsidR="00550356" w:rsidRPr="00EF6F04">
        <w:rPr>
          <w:lang w:val="fr-FR"/>
        </w:rPr>
        <w:t>I</w:t>
      </w:r>
      <w:r w:rsidRPr="00EF6F04">
        <w:rPr>
          <w:lang w:val="fr-FR"/>
        </w:rPr>
        <w:t>I</w:t>
      </w:r>
      <w:r w:rsidR="00E77CB3" w:rsidRPr="00EF6F04">
        <w:rPr>
          <w:lang w:val="fr-FR"/>
        </w:rPr>
        <w:t>.  SUR L</w:t>
      </w:r>
      <w:r w:rsidR="00EF6F04" w:rsidRPr="00EF6F04">
        <w:rPr>
          <w:lang w:val="fr-FR"/>
        </w:rPr>
        <w:t>’</w:t>
      </w:r>
      <w:r w:rsidR="00E77CB3" w:rsidRPr="00EF6F04">
        <w:rPr>
          <w:lang w:val="fr-FR"/>
        </w:rPr>
        <w:t>APPLICATION DE L</w:t>
      </w:r>
      <w:r w:rsidR="00EF6F04" w:rsidRPr="00EF6F04">
        <w:rPr>
          <w:lang w:val="fr-FR"/>
        </w:rPr>
        <w:t>’</w:t>
      </w:r>
      <w:r w:rsidR="00E77CB3" w:rsidRPr="00EF6F04">
        <w:rPr>
          <w:lang w:val="fr-FR"/>
        </w:rPr>
        <w:t>ARTICLE 41 DE LA CONVENTION</w:t>
      </w:r>
    </w:p>
    <w:p w:rsidR="00E77CB3"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77</w:t>
      </w:r>
      <w:r w:rsidRPr="00EF6F04">
        <w:rPr>
          <w:lang w:val="fr-FR"/>
        </w:rPr>
        <w:fldChar w:fldCharType="end"/>
      </w:r>
      <w:r w:rsidR="00E77CB3" w:rsidRPr="00EF6F04">
        <w:rPr>
          <w:lang w:val="fr-FR"/>
        </w:rPr>
        <w:t>.  Aux termes de l</w:t>
      </w:r>
      <w:r w:rsidR="00EF6F04" w:rsidRPr="00EF6F04">
        <w:rPr>
          <w:lang w:val="fr-FR"/>
        </w:rPr>
        <w:t>’</w:t>
      </w:r>
      <w:r w:rsidR="00E77CB3" w:rsidRPr="00EF6F04">
        <w:rPr>
          <w:lang w:val="fr-FR"/>
        </w:rPr>
        <w:t>article 41 de la Convention,</w:t>
      </w:r>
    </w:p>
    <w:p w:rsidR="00E77CB3" w:rsidRPr="00EF6F04" w:rsidRDefault="00E77CB3" w:rsidP="00EF6F04">
      <w:pPr>
        <w:pStyle w:val="ECHRParaQuote"/>
        <w:keepNext/>
        <w:keepLines/>
        <w:rPr>
          <w:lang w:val="fr-FR"/>
        </w:rPr>
      </w:pPr>
      <w:r w:rsidRPr="00EF6F04">
        <w:rPr>
          <w:lang w:val="fr-FR"/>
        </w:rPr>
        <w:t>« Si la Cour déclare qu</w:t>
      </w:r>
      <w:r w:rsidR="00EF6F04" w:rsidRPr="00EF6F04">
        <w:rPr>
          <w:lang w:val="fr-FR"/>
        </w:rPr>
        <w:t>’</w:t>
      </w:r>
      <w:r w:rsidRPr="00EF6F04">
        <w:rPr>
          <w:lang w:val="fr-FR"/>
        </w:rPr>
        <w:t>il y a eu violation de la Convention ou de ses Protocoles, et si le droit interne de la Haute Partie contractante ne permet d</w:t>
      </w:r>
      <w:r w:rsidR="00EF6F04" w:rsidRPr="00EF6F04">
        <w:rPr>
          <w:lang w:val="fr-FR"/>
        </w:rPr>
        <w:t>’</w:t>
      </w:r>
      <w:r w:rsidRPr="00EF6F04">
        <w:rPr>
          <w:lang w:val="fr-FR"/>
        </w:rPr>
        <w:t>effacer qu</w:t>
      </w:r>
      <w:r w:rsidR="00EF6F04" w:rsidRPr="00EF6F04">
        <w:rPr>
          <w:lang w:val="fr-FR"/>
        </w:rPr>
        <w:t>’</w:t>
      </w:r>
      <w:r w:rsidRPr="00EF6F04">
        <w:rPr>
          <w:lang w:val="fr-FR"/>
        </w:rPr>
        <w:t>imparfaitement les conséquences de cette violation, la Cour accorde à la partie lésée, s</w:t>
      </w:r>
      <w:r w:rsidR="00EF6F04" w:rsidRPr="00EF6F04">
        <w:rPr>
          <w:lang w:val="fr-FR"/>
        </w:rPr>
        <w:t>’</w:t>
      </w:r>
      <w:r w:rsidRPr="00EF6F04">
        <w:rPr>
          <w:lang w:val="fr-FR"/>
        </w:rPr>
        <w:t>il y a lieu, une satisfaction équitable. »</w:t>
      </w:r>
    </w:p>
    <w:p w:rsidR="00E77CB3" w:rsidRPr="00EF6F04" w:rsidRDefault="00E77CB3" w:rsidP="00EF6F04">
      <w:pPr>
        <w:pStyle w:val="ECHRHeading2"/>
        <w:rPr>
          <w:lang w:val="fr-FR"/>
        </w:rPr>
      </w:pPr>
      <w:r w:rsidRPr="00EF6F04">
        <w:rPr>
          <w:lang w:val="fr-FR"/>
        </w:rPr>
        <w:t>A.  Dommage</w:t>
      </w:r>
      <w:r w:rsidR="00A21870" w:rsidRPr="00EF6F04">
        <w:rPr>
          <w:lang w:val="fr-FR"/>
        </w:rPr>
        <w:t xml:space="preserve"> moral</w:t>
      </w:r>
    </w:p>
    <w:p w:rsidR="0091653F" w:rsidRPr="00EF6F04" w:rsidRDefault="0091653F"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78</w:t>
      </w:r>
      <w:r w:rsidRPr="00EF6F04">
        <w:rPr>
          <w:lang w:val="fr-FR"/>
        </w:rPr>
        <w:fldChar w:fldCharType="end"/>
      </w:r>
      <w:r w:rsidRPr="00EF6F04">
        <w:rPr>
          <w:lang w:val="fr-FR"/>
        </w:rPr>
        <w:t>.  Les requérants réclament respectivement :</w:t>
      </w:r>
    </w:p>
    <w:p w:rsidR="008151BB" w:rsidRPr="00EF6F04" w:rsidRDefault="008151BB" w:rsidP="00EF6F04">
      <w:pPr>
        <w:pStyle w:val="ECHRPara"/>
        <w:rPr>
          <w:lang w:val="fr-FR"/>
        </w:rPr>
      </w:pPr>
    </w:p>
    <w:p w:rsidR="00E77CB3" w:rsidRPr="00EF6F04" w:rsidRDefault="0091653F" w:rsidP="00EF6F04">
      <w:pPr>
        <w:pStyle w:val="ECHRPara"/>
        <w:spacing w:after="120"/>
        <w:rPr>
          <w:lang w:val="fr-FR"/>
        </w:rPr>
      </w:pPr>
      <w:r w:rsidRPr="00EF6F04">
        <w:rPr>
          <w:lang w:val="fr-FR"/>
        </w:rPr>
        <w:t>- pour la requête n</w:t>
      </w:r>
      <w:r w:rsidR="006317C1" w:rsidRPr="00EF6F04">
        <w:rPr>
          <w:vertAlign w:val="superscript"/>
          <w:lang w:val="fr-FR"/>
        </w:rPr>
        <w:t>o</w:t>
      </w:r>
      <w:r w:rsidRPr="00EF6F04">
        <w:rPr>
          <w:lang w:val="fr-FR"/>
        </w:rPr>
        <w:t xml:space="preserve"> 17708/12, la somme de 27 375</w:t>
      </w:r>
      <w:r w:rsidR="00E77CB3" w:rsidRPr="00EF6F04">
        <w:rPr>
          <w:lang w:val="fr-FR"/>
        </w:rPr>
        <w:t xml:space="preserve"> eu</w:t>
      </w:r>
      <w:r w:rsidRPr="00EF6F04">
        <w:rPr>
          <w:lang w:val="fr-FR"/>
        </w:rPr>
        <w:t>ros (EUR)</w:t>
      </w:r>
      <w:r w:rsidR="00F85F7A" w:rsidRPr="00EF6F04">
        <w:rPr>
          <w:lang w:val="fr-FR"/>
        </w:rPr>
        <w:t> ;</w:t>
      </w:r>
    </w:p>
    <w:p w:rsidR="0091653F" w:rsidRPr="00EF6F04" w:rsidRDefault="0091653F" w:rsidP="00EF6F04">
      <w:pPr>
        <w:pStyle w:val="ECHRPara"/>
        <w:spacing w:after="120"/>
        <w:rPr>
          <w:lang w:val="fr-FR"/>
        </w:rPr>
      </w:pPr>
      <w:r w:rsidRPr="00EF6F04">
        <w:rPr>
          <w:lang w:val="fr-FR"/>
        </w:rPr>
        <w:t>- pour la requête n</w:t>
      </w:r>
      <w:r w:rsidR="006317C1" w:rsidRPr="00EF6F04">
        <w:rPr>
          <w:vertAlign w:val="superscript"/>
          <w:lang w:val="fr-FR"/>
        </w:rPr>
        <w:t>o</w:t>
      </w:r>
      <w:r w:rsidRPr="00EF6F04">
        <w:rPr>
          <w:lang w:val="fr-FR"/>
        </w:rPr>
        <w:t xml:space="preserve"> 17717/12, la somme de 27 750 euros (EUR) ;</w:t>
      </w:r>
    </w:p>
    <w:p w:rsidR="0091653F" w:rsidRPr="00EF6F04" w:rsidRDefault="0091653F" w:rsidP="00EF6F04">
      <w:pPr>
        <w:pStyle w:val="ECHRPara"/>
        <w:spacing w:after="120"/>
        <w:rPr>
          <w:lang w:val="fr-FR"/>
        </w:rPr>
      </w:pPr>
      <w:r w:rsidRPr="00EF6F04">
        <w:rPr>
          <w:lang w:val="fr-FR"/>
        </w:rPr>
        <w:t>- pour la requête n</w:t>
      </w:r>
      <w:r w:rsidR="006317C1" w:rsidRPr="00EF6F04">
        <w:rPr>
          <w:vertAlign w:val="superscript"/>
          <w:lang w:val="fr-FR"/>
        </w:rPr>
        <w:t>o</w:t>
      </w:r>
      <w:r w:rsidRPr="00EF6F04">
        <w:rPr>
          <w:lang w:val="fr-FR"/>
        </w:rPr>
        <w:t xml:space="preserve"> 17729/12, la somme de 27 </w:t>
      </w:r>
      <w:r w:rsidR="00705503" w:rsidRPr="00EF6F04">
        <w:rPr>
          <w:lang w:val="fr-FR"/>
        </w:rPr>
        <w:t>375</w:t>
      </w:r>
      <w:r w:rsidRPr="00EF6F04">
        <w:rPr>
          <w:lang w:val="fr-FR"/>
        </w:rPr>
        <w:t xml:space="preserve"> euros (EUR) ;</w:t>
      </w:r>
    </w:p>
    <w:p w:rsidR="0091653F" w:rsidRPr="00EF6F04" w:rsidRDefault="0091653F" w:rsidP="00EF6F04">
      <w:pPr>
        <w:pStyle w:val="ECHRPara"/>
        <w:spacing w:after="120"/>
        <w:rPr>
          <w:lang w:val="fr-FR"/>
        </w:rPr>
      </w:pPr>
      <w:r w:rsidRPr="00EF6F04">
        <w:rPr>
          <w:lang w:val="fr-FR"/>
        </w:rPr>
        <w:t>- pour la requête n</w:t>
      </w:r>
      <w:r w:rsidR="006317C1" w:rsidRPr="00EF6F04">
        <w:rPr>
          <w:vertAlign w:val="superscript"/>
          <w:lang w:val="fr-FR"/>
        </w:rPr>
        <w:t>o</w:t>
      </w:r>
      <w:r w:rsidRPr="00EF6F04">
        <w:rPr>
          <w:lang w:val="fr-FR"/>
        </w:rPr>
        <w:t xml:space="preserve"> 22994/12, la somme de 27 750 euros (EUR).</w:t>
      </w:r>
    </w:p>
    <w:p w:rsidR="00E77CB3"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79</w:t>
      </w:r>
      <w:r w:rsidRPr="00EF6F04">
        <w:rPr>
          <w:lang w:val="fr-FR"/>
        </w:rPr>
        <w:fldChar w:fldCharType="end"/>
      </w:r>
      <w:r w:rsidR="00E77CB3" w:rsidRPr="00EF6F04">
        <w:rPr>
          <w:lang w:val="fr-FR"/>
        </w:rPr>
        <w:t>.  Le Gouvernement</w:t>
      </w:r>
      <w:r w:rsidR="00257C3D" w:rsidRPr="00EF6F04">
        <w:rPr>
          <w:lang w:val="fr-FR"/>
        </w:rPr>
        <w:t xml:space="preserve"> soutient que c</w:t>
      </w:r>
      <w:r w:rsidR="0091653F" w:rsidRPr="00EF6F04">
        <w:rPr>
          <w:lang w:val="fr-FR"/>
        </w:rPr>
        <w:t xml:space="preserve">es prétentions ne sont pas en accord avec les paramètres de </w:t>
      </w:r>
      <w:r w:rsidR="00F85F7A" w:rsidRPr="00EF6F04">
        <w:rPr>
          <w:lang w:val="fr-FR"/>
        </w:rPr>
        <w:t xml:space="preserve">la jurisprudence de </w:t>
      </w:r>
      <w:r w:rsidR="0091653F" w:rsidRPr="00EF6F04">
        <w:rPr>
          <w:lang w:val="fr-FR"/>
        </w:rPr>
        <w:t>la Cour et s</w:t>
      </w:r>
      <w:r w:rsidR="00EF6F04" w:rsidRPr="00EF6F04">
        <w:rPr>
          <w:lang w:val="fr-FR"/>
        </w:rPr>
        <w:t>’</w:t>
      </w:r>
      <w:r w:rsidR="0091653F" w:rsidRPr="00EF6F04">
        <w:rPr>
          <w:lang w:val="fr-FR"/>
        </w:rPr>
        <w:t>avèrent excessives, compte tenu du fait que les procédures internes sur le fond n</w:t>
      </w:r>
      <w:r w:rsidR="00EF6F04" w:rsidRPr="00EF6F04">
        <w:rPr>
          <w:lang w:val="fr-FR"/>
        </w:rPr>
        <w:t>’</w:t>
      </w:r>
      <w:r w:rsidR="0091653F" w:rsidRPr="00EF6F04">
        <w:rPr>
          <w:lang w:val="fr-FR"/>
        </w:rPr>
        <w:t>ont pas été favorables</w:t>
      </w:r>
      <w:r w:rsidR="00F85F7A" w:rsidRPr="00EF6F04">
        <w:rPr>
          <w:lang w:val="fr-FR"/>
        </w:rPr>
        <w:t xml:space="preserve"> aux requérants</w:t>
      </w:r>
      <w:r w:rsidR="0091653F" w:rsidRPr="00EF6F04">
        <w:rPr>
          <w:lang w:val="fr-FR"/>
        </w:rPr>
        <w:t>.</w:t>
      </w:r>
    </w:p>
    <w:p w:rsidR="00E77CB3"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80</w:t>
      </w:r>
      <w:r w:rsidRPr="00EF6F04">
        <w:rPr>
          <w:lang w:val="fr-FR"/>
        </w:rPr>
        <w:fldChar w:fldCharType="end"/>
      </w:r>
      <w:r w:rsidR="00E77CB3" w:rsidRPr="00EF6F04">
        <w:rPr>
          <w:lang w:val="fr-FR"/>
        </w:rPr>
        <w:t xml:space="preserve">.  La Cour </w:t>
      </w:r>
      <w:r w:rsidR="0091653F" w:rsidRPr="00EF6F04">
        <w:rPr>
          <w:lang w:val="fr-FR"/>
        </w:rPr>
        <w:t>rappelle qu</w:t>
      </w:r>
      <w:r w:rsidR="00EF6F04" w:rsidRPr="00EF6F04">
        <w:rPr>
          <w:lang w:val="fr-FR"/>
        </w:rPr>
        <w:t>’</w:t>
      </w:r>
      <w:r w:rsidR="0091653F" w:rsidRPr="00EF6F04">
        <w:rPr>
          <w:lang w:val="fr-FR"/>
        </w:rPr>
        <w:t xml:space="preserve">elle a conclu à la violation des articles 6 § 1 et 13 de la Convention. </w:t>
      </w:r>
      <w:r w:rsidR="00987BEA" w:rsidRPr="00EF6F04">
        <w:rPr>
          <w:lang w:val="fr-FR"/>
        </w:rPr>
        <w:t>Statuant en équité, e</w:t>
      </w:r>
      <w:r w:rsidR="0091653F" w:rsidRPr="00EF6F04">
        <w:rPr>
          <w:lang w:val="fr-FR"/>
        </w:rPr>
        <w:t>lle considère qu</w:t>
      </w:r>
      <w:r w:rsidR="00EF6F04" w:rsidRPr="00EF6F04">
        <w:rPr>
          <w:lang w:val="fr-FR"/>
        </w:rPr>
        <w:t>’</w:t>
      </w:r>
      <w:r w:rsidR="00E77CB3" w:rsidRPr="00EF6F04">
        <w:rPr>
          <w:lang w:val="fr-FR"/>
        </w:rPr>
        <w:t>il y a lieu d</w:t>
      </w:r>
      <w:r w:rsidR="00EF6F04" w:rsidRPr="00EF6F04">
        <w:rPr>
          <w:lang w:val="fr-FR"/>
        </w:rPr>
        <w:t>’</w:t>
      </w:r>
      <w:r w:rsidR="00E77CB3" w:rsidRPr="00EF6F04">
        <w:rPr>
          <w:lang w:val="fr-FR"/>
        </w:rPr>
        <w:t xml:space="preserve">octroyer </w:t>
      </w:r>
      <w:r w:rsidR="00F85F7A" w:rsidRPr="00EF6F04">
        <w:rPr>
          <w:lang w:val="fr-FR"/>
        </w:rPr>
        <w:t xml:space="preserve">pour chaque </w:t>
      </w:r>
      <w:r w:rsidR="00294F32" w:rsidRPr="00EF6F04">
        <w:rPr>
          <w:lang w:val="fr-FR"/>
        </w:rPr>
        <w:t>requête</w:t>
      </w:r>
      <w:r w:rsidR="0091653F" w:rsidRPr="00EF6F04">
        <w:rPr>
          <w:lang w:val="fr-FR"/>
        </w:rPr>
        <w:t xml:space="preserve"> </w:t>
      </w:r>
      <w:r w:rsidR="006E3963" w:rsidRPr="00EF6F04">
        <w:rPr>
          <w:lang w:val="fr-FR"/>
        </w:rPr>
        <w:t>22 000</w:t>
      </w:r>
      <w:r w:rsidR="00E77CB3" w:rsidRPr="00EF6F04">
        <w:rPr>
          <w:lang w:val="fr-FR"/>
        </w:rPr>
        <w:t xml:space="preserve"> EUR au titre du préjudice moral.</w:t>
      </w:r>
    </w:p>
    <w:p w:rsidR="00E77CB3" w:rsidRPr="00EF6F04" w:rsidRDefault="00E77CB3" w:rsidP="00EF6F04">
      <w:pPr>
        <w:pStyle w:val="ECHRHeading2"/>
        <w:rPr>
          <w:lang w:val="fr-FR"/>
        </w:rPr>
      </w:pPr>
      <w:r w:rsidRPr="00EF6F04">
        <w:rPr>
          <w:lang w:val="fr-FR"/>
        </w:rPr>
        <w:t>B.  Frais et dépens</w:t>
      </w:r>
    </w:p>
    <w:p w:rsidR="00E77CB3" w:rsidRPr="00EF6F04" w:rsidRDefault="009A4160"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81</w:t>
      </w:r>
      <w:r w:rsidRPr="00EF6F04">
        <w:rPr>
          <w:lang w:val="fr-FR"/>
        </w:rPr>
        <w:fldChar w:fldCharType="end"/>
      </w:r>
      <w:r w:rsidR="00E77CB3" w:rsidRPr="00EF6F04">
        <w:rPr>
          <w:lang w:val="fr-FR"/>
        </w:rPr>
        <w:t>.  </w:t>
      </w:r>
      <w:r w:rsidRPr="00EF6F04">
        <w:rPr>
          <w:lang w:val="fr-FR"/>
        </w:rPr>
        <w:t>Les requérants</w:t>
      </w:r>
      <w:r w:rsidR="00E77CB3" w:rsidRPr="00EF6F04">
        <w:rPr>
          <w:lang w:val="fr-FR"/>
        </w:rPr>
        <w:t xml:space="preserve"> </w:t>
      </w:r>
      <w:r w:rsidR="00987BEA" w:rsidRPr="00EF6F04">
        <w:rPr>
          <w:lang w:val="fr-FR"/>
        </w:rPr>
        <w:t xml:space="preserve">ne </w:t>
      </w:r>
      <w:r w:rsidR="00E77CB3" w:rsidRPr="00EF6F04">
        <w:rPr>
          <w:lang w:val="fr-FR"/>
        </w:rPr>
        <w:t>demande</w:t>
      </w:r>
      <w:r w:rsidRPr="00EF6F04">
        <w:rPr>
          <w:lang w:val="fr-FR"/>
        </w:rPr>
        <w:t>nt</w:t>
      </w:r>
      <w:r w:rsidR="00987BEA" w:rsidRPr="00EF6F04">
        <w:rPr>
          <w:lang w:val="fr-FR"/>
        </w:rPr>
        <w:t xml:space="preserve"> pas le remboursement des </w:t>
      </w:r>
      <w:r w:rsidR="00E77CB3" w:rsidRPr="00EF6F04">
        <w:rPr>
          <w:lang w:val="fr-FR"/>
        </w:rPr>
        <w:t>frais et dépens engagés devant les juridictions internes et devant la Cour.</w:t>
      </w:r>
      <w:r w:rsidR="006E3963" w:rsidRPr="00EF6F04">
        <w:rPr>
          <w:lang w:val="fr-FR"/>
        </w:rPr>
        <w:t xml:space="preserve"> Rien ne </w:t>
      </w:r>
      <w:r w:rsidR="00F85F7A" w:rsidRPr="00EF6F04">
        <w:rPr>
          <w:lang w:val="fr-FR"/>
        </w:rPr>
        <w:t xml:space="preserve">leur </w:t>
      </w:r>
      <w:r w:rsidR="006E3963" w:rsidRPr="00EF6F04">
        <w:rPr>
          <w:lang w:val="fr-FR"/>
        </w:rPr>
        <w:t>sera donc accordé à titre de frais et dépens.</w:t>
      </w:r>
    </w:p>
    <w:p w:rsidR="00E77CB3" w:rsidRPr="00EF6F04" w:rsidRDefault="00E77CB3" w:rsidP="00EF6F04">
      <w:pPr>
        <w:pStyle w:val="ECHRHeading2"/>
        <w:rPr>
          <w:lang w:val="fr-FR"/>
        </w:rPr>
      </w:pPr>
      <w:r w:rsidRPr="00EF6F04">
        <w:rPr>
          <w:lang w:val="fr-FR"/>
        </w:rPr>
        <w:t>C.  Intérêts moratoires</w:t>
      </w:r>
    </w:p>
    <w:p w:rsidR="006F687A" w:rsidRPr="00EF6F04" w:rsidRDefault="008232CC" w:rsidP="00EF6F04">
      <w:pPr>
        <w:pStyle w:val="ECHRPara"/>
        <w:rPr>
          <w:lang w:val="fr-FR"/>
        </w:rPr>
      </w:pPr>
      <w:r w:rsidRPr="00EF6F04">
        <w:rPr>
          <w:lang w:val="fr-FR"/>
        </w:rPr>
        <w:fldChar w:fldCharType="begin"/>
      </w:r>
      <w:r w:rsidRPr="00EF6F04">
        <w:rPr>
          <w:lang w:val="fr-FR"/>
        </w:rPr>
        <w:instrText xml:space="preserve"> SEQ level0 \*arabic </w:instrText>
      </w:r>
      <w:r w:rsidRPr="00EF6F04">
        <w:rPr>
          <w:lang w:val="fr-FR"/>
        </w:rPr>
        <w:fldChar w:fldCharType="separate"/>
      </w:r>
      <w:r w:rsidR="00EF6F04" w:rsidRPr="00EF6F04">
        <w:rPr>
          <w:noProof/>
          <w:lang w:val="fr-FR"/>
        </w:rPr>
        <w:t>82</w:t>
      </w:r>
      <w:r w:rsidRPr="00EF6F04">
        <w:rPr>
          <w:lang w:val="fr-FR"/>
        </w:rPr>
        <w:fldChar w:fldCharType="end"/>
      </w:r>
      <w:r w:rsidRPr="00EF6F04">
        <w:rPr>
          <w:lang w:val="fr-FR"/>
        </w:rPr>
        <w:t>.  </w:t>
      </w:r>
      <w:r w:rsidR="00E77CB3" w:rsidRPr="00EF6F04">
        <w:rPr>
          <w:lang w:val="fr-FR"/>
        </w:rPr>
        <w:t>La Cour juge approprié de calquer le taux des intérêts moratoires sur le taux d</w:t>
      </w:r>
      <w:r w:rsidR="00EF6F04" w:rsidRPr="00EF6F04">
        <w:rPr>
          <w:lang w:val="fr-FR"/>
        </w:rPr>
        <w:t>’</w:t>
      </w:r>
      <w:r w:rsidR="00E77CB3" w:rsidRPr="00EF6F04">
        <w:rPr>
          <w:lang w:val="fr-FR"/>
        </w:rPr>
        <w:t>intérêt de la facilité de prêt marginal de la Banque centrale européenne majoré de trois points de pourcentage.</w:t>
      </w:r>
    </w:p>
    <w:p w:rsidR="00E77CB3" w:rsidRPr="00EF6F04" w:rsidRDefault="00E77CB3" w:rsidP="00EF6F04">
      <w:pPr>
        <w:pStyle w:val="ECHRTitle1"/>
        <w:rPr>
          <w:lang w:val="fr-FR"/>
        </w:rPr>
      </w:pPr>
      <w:r w:rsidRPr="00EF6F04">
        <w:rPr>
          <w:lang w:val="fr-FR"/>
        </w:rPr>
        <w:lastRenderedPageBreak/>
        <w:t>PAR CES MOTIFS, LA COUR</w:t>
      </w:r>
      <w:r w:rsidR="009A4160" w:rsidRPr="00EF6F04">
        <w:rPr>
          <w:lang w:val="fr-FR"/>
        </w:rPr>
        <w:t>, À L</w:t>
      </w:r>
      <w:r w:rsidR="00EF6F04" w:rsidRPr="00EF6F04">
        <w:rPr>
          <w:lang w:val="fr-FR"/>
        </w:rPr>
        <w:t>’</w:t>
      </w:r>
      <w:r w:rsidR="009A4160" w:rsidRPr="00EF6F04">
        <w:rPr>
          <w:lang w:val="fr-FR"/>
        </w:rPr>
        <w:t>UNANIMITÉ,</w:t>
      </w:r>
    </w:p>
    <w:p w:rsidR="00692916" w:rsidRPr="00EF6F04" w:rsidRDefault="00692916" w:rsidP="00EF6F04">
      <w:pPr>
        <w:pStyle w:val="JuList"/>
        <w:rPr>
          <w:lang w:val="fr-FR"/>
        </w:rPr>
      </w:pPr>
      <w:r w:rsidRPr="00EF6F04">
        <w:rPr>
          <w:lang w:val="fr-FR"/>
        </w:rPr>
        <w:t>1.  </w:t>
      </w:r>
      <w:r w:rsidRPr="00EF6F04">
        <w:rPr>
          <w:i/>
          <w:lang w:val="fr-FR"/>
        </w:rPr>
        <w:t>Décide</w:t>
      </w:r>
      <w:r w:rsidRPr="00EF6F04">
        <w:rPr>
          <w:lang w:val="fr-FR"/>
        </w:rPr>
        <w:t xml:space="preserve"> de joindre les requêtes ;</w:t>
      </w:r>
    </w:p>
    <w:p w:rsidR="00692916" w:rsidRPr="00EF6F04" w:rsidRDefault="00692916" w:rsidP="00EF6F04">
      <w:pPr>
        <w:pStyle w:val="JuList"/>
        <w:rPr>
          <w:lang w:val="fr-FR"/>
        </w:rPr>
      </w:pPr>
    </w:p>
    <w:p w:rsidR="00806909" w:rsidRPr="00EF6F04" w:rsidRDefault="00692916" w:rsidP="00EF6F04">
      <w:pPr>
        <w:pStyle w:val="JuList"/>
        <w:rPr>
          <w:lang w:val="fr-FR"/>
        </w:rPr>
      </w:pPr>
      <w:r w:rsidRPr="00EF6F04">
        <w:rPr>
          <w:lang w:val="fr-FR"/>
        </w:rPr>
        <w:t>2.</w:t>
      </w:r>
      <w:r w:rsidR="00806909" w:rsidRPr="00EF6F04">
        <w:rPr>
          <w:lang w:val="fr-FR"/>
        </w:rPr>
        <w:t>  </w:t>
      </w:r>
      <w:r w:rsidR="00806909" w:rsidRPr="00EF6F04">
        <w:rPr>
          <w:i/>
          <w:lang w:val="fr-FR"/>
        </w:rPr>
        <w:t>Joint</w:t>
      </w:r>
      <w:r w:rsidR="00806909" w:rsidRPr="00EF6F04">
        <w:rPr>
          <w:lang w:val="fr-FR"/>
        </w:rPr>
        <w:t xml:space="preserve"> au fond du grief tiré de l</w:t>
      </w:r>
      <w:r w:rsidR="00EF6F04" w:rsidRPr="00EF6F04">
        <w:rPr>
          <w:lang w:val="fr-FR"/>
        </w:rPr>
        <w:t>’</w:t>
      </w:r>
      <w:r w:rsidR="00806909" w:rsidRPr="00EF6F04">
        <w:rPr>
          <w:lang w:val="fr-FR"/>
        </w:rPr>
        <w:t>article 13 l</w:t>
      </w:r>
      <w:r w:rsidR="00EF6F04" w:rsidRPr="00EF6F04">
        <w:rPr>
          <w:lang w:val="fr-FR"/>
        </w:rPr>
        <w:t>’</w:t>
      </w:r>
      <w:r w:rsidR="00806909" w:rsidRPr="00EF6F04">
        <w:rPr>
          <w:lang w:val="fr-FR"/>
        </w:rPr>
        <w:t>exception du Gouvernement tirée du non</w:t>
      </w:r>
      <w:r w:rsidR="008D64A6" w:rsidRPr="00EF6F04">
        <w:rPr>
          <w:lang w:val="fr-FR"/>
        </w:rPr>
        <w:t xml:space="preserve">-épuisement </w:t>
      </w:r>
      <w:r w:rsidR="00806909" w:rsidRPr="00EF6F04">
        <w:rPr>
          <w:lang w:val="fr-FR"/>
        </w:rPr>
        <w:t xml:space="preserve">des voies de recours internes et la </w:t>
      </w:r>
      <w:r w:rsidR="00806909" w:rsidRPr="00EF6F04">
        <w:rPr>
          <w:i/>
          <w:lang w:val="fr-FR"/>
        </w:rPr>
        <w:t>rejette</w:t>
      </w:r>
      <w:r w:rsidRPr="00EF6F04">
        <w:rPr>
          <w:lang w:val="fr-FR"/>
        </w:rPr>
        <w:t> ;</w:t>
      </w:r>
    </w:p>
    <w:p w:rsidR="00ED071F" w:rsidRPr="00EF6F04" w:rsidRDefault="00ED071F" w:rsidP="00EF6F04">
      <w:pPr>
        <w:pStyle w:val="JuList"/>
        <w:rPr>
          <w:lang w:val="fr-FR"/>
        </w:rPr>
      </w:pPr>
    </w:p>
    <w:p w:rsidR="00FB2B45" w:rsidRPr="00EF6F04" w:rsidRDefault="00692916" w:rsidP="00EF6F04">
      <w:pPr>
        <w:pStyle w:val="JuList"/>
        <w:rPr>
          <w:lang w:val="fr-FR"/>
        </w:rPr>
      </w:pPr>
      <w:r w:rsidRPr="00EF6F04">
        <w:rPr>
          <w:lang w:val="fr-FR"/>
        </w:rPr>
        <w:t>3</w:t>
      </w:r>
      <w:r w:rsidR="00ED071F" w:rsidRPr="00EF6F04">
        <w:rPr>
          <w:lang w:val="fr-FR"/>
        </w:rPr>
        <w:t>.  </w:t>
      </w:r>
      <w:r w:rsidR="00FB2B45" w:rsidRPr="00EF6F04">
        <w:rPr>
          <w:i/>
          <w:lang w:val="fr-FR"/>
        </w:rPr>
        <w:t>Déclare</w:t>
      </w:r>
      <w:r w:rsidR="009A4160" w:rsidRPr="00EF6F04">
        <w:rPr>
          <w:lang w:val="fr-FR"/>
        </w:rPr>
        <w:t>, les requêtes recevables</w:t>
      </w:r>
      <w:r w:rsidRPr="00EF6F04">
        <w:rPr>
          <w:lang w:val="fr-FR"/>
        </w:rPr>
        <w:t> ;</w:t>
      </w:r>
    </w:p>
    <w:p w:rsidR="00FB2B45" w:rsidRPr="00EF6F04" w:rsidRDefault="00FB2B45" w:rsidP="00EF6F04">
      <w:pPr>
        <w:pStyle w:val="JuList"/>
        <w:jc w:val="center"/>
        <w:rPr>
          <w:lang w:val="fr-FR"/>
        </w:rPr>
      </w:pPr>
    </w:p>
    <w:p w:rsidR="00E77CB3" w:rsidRPr="00EF6F04" w:rsidRDefault="00692916" w:rsidP="00EF6F04">
      <w:pPr>
        <w:pStyle w:val="JuList"/>
        <w:rPr>
          <w:lang w:val="fr-FR"/>
        </w:rPr>
      </w:pPr>
      <w:r w:rsidRPr="00EF6F04">
        <w:rPr>
          <w:lang w:val="fr-FR"/>
        </w:rPr>
        <w:t>4</w:t>
      </w:r>
      <w:r w:rsidR="00E77CB3" w:rsidRPr="00EF6F04">
        <w:rPr>
          <w:lang w:val="fr-FR"/>
        </w:rPr>
        <w:t>.  </w:t>
      </w:r>
      <w:r w:rsidR="00ED071F" w:rsidRPr="00EF6F04">
        <w:rPr>
          <w:i/>
          <w:lang w:val="fr-FR"/>
        </w:rPr>
        <w:t>Dit</w:t>
      </w:r>
      <w:r w:rsidR="00ED071F" w:rsidRPr="00EF6F04">
        <w:rPr>
          <w:lang w:val="fr-FR"/>
        </w:rPr>
        <w:t>, qu</w:t>
      </w:r>
      <w:r w:rsidR="00EF6F04" w:rsidRPr="00EF6F04">
        <w:rPr>
          <w:lang w:val="fr-FR"/>
        </w:rPr>
        <w:t>’</w:t>
      </w:r>
      <w:r w:rsidR="00ED071F" w:rsidRPr="00EF6F04">
        <w:rPr>
          <w:lang w:val="fr-FR"/>
        </w:rPr>
        <w:t>il y a eu violation de l</w:t>
      </w:r>
      <w:r w:rsidR="00EF6F04" w:rsidRPr="00EF6F04">
        <w:rPr>
          <w:lang w:val="fr-FR"/>
        </w:rPr>
        <w:t>’</w:t>
      </w:r>
      <w:r w:rsidR="00ED071F" w:rsidRPr="00EF6F04">
        <w:rPr>
          <w:lang w:val="fr-FR"/>
        </w:rPr>
        <w:t>article 6 § 1 de la Convention ;</w:t>
      </w:r>
    </w:p>
    <w:p w:rsidR="00ED071F" w:rsidRPr="00EF6F04" w:rsidRDefault="00ED071F" w:rsidP="00EF6F04">
      <w:pPr>
        <w:pStyle w:val="JuList"/>
        <w:rPr>
          <w:lang w:val="fr-FR"/>
        </w:rPr>
      </w:pPr>
    </w:p>
    <w:p w:rsidR="00E77CB3" w:rsidRPr="00EF6F04" w:rsidRDefault="00692916" w:rsidP="00EF6F04">
      <w:pPr>
        <w:pStyle w:val="JuList"/>
        <w:rPr>
          <w:lang w:val="fr-FR"/>
        </w:rPr>
      </w:pPr>
      <w:r w:rsidRPr="00EF6F04">
        <w:rPr>
          <w:lang w:val="fr-FR"/>
        </w:rPr>
        <w:t>5</w:t>
      </w:r>
      <w:r w:rsidR="00E77CB3" w:rsidRPr="00EF6F04">
        <w:rPr>
          <w:lang w:val="fr-FR"/>
        </w:rPr>
        <w:t>.  </w:t>
      </w:r>
      <w:r w:rsidR="00ED071F" w:rsidRPr="00EF6F04">
        <w:rPr>
          <w:i/>
          <w:lang w:val="fr-FR"/>
        </w:rPr>
        <w:t>Dit</w:t>
      </w:r>
      <w:r w:rsidR="00ED071F" w:rsidRPr="00EF6F04">
        <w:rPr>
          <w:lang w:val="fr-FR"/>
        </w:rPr>
        <w:t>, qu</w:t>
      </w:r>
      <w:r w:rsidR="00EF6F04" w:rsidRPr="00EF6F04">
        <w:rPr>
          <w:lang w:val="fr-FR"/>
        </w:rPr>
        <w:t>’</w:t>
      </w:r>
      <w:r w:rsidR="00ED071F" w:rsidRPr="00EF6F04">
        <w:rPr>
          <w:lang w:val="fr-FR"/>
        </w:rPr>
        <w:t>il y a eu violation de l</w:t>
      </w:r>
      <w:r w:rsidR="00EF6F04" w:rsidRPr="00EF6F04">
        <w:rPr>
          <w:lang w:val="fr-FR"/>
        </w:rPr>
        <w:t>’</w:t>
      </w:r>
      <w:r w:rsidR="00ED071F" w:rsidRPr="00EF6F04">
        <w:rPr>
          <w:lang w:val="fr-FR"/>
        </w:rPr>
        <w:t>article 13 de la Convention ;</w:t>
      </w:r>
    </w:p>
    <w:p w:rsidR="00E77CB3" w:rsidRPr="00EF6F04" w:rsidRDefault="00E77CB3" w:rsidP="00EF6F04">
      <w:pPr>
        <w:pStyle w:val="JuList"/>
        <w:rPr>
          <w:lang w:val="fr-FR"/>
        </w:rPr>
      </w:pPr>
    </w:p>
    <w:p w:rsidR="00AF5649" w:rsidRPr="00EF6F04" w:rsidRDefault="00692916" w:rsidP="00EF6F04">
      <w:pPr>
        <w:pStyle w:val="JuList"/>
        <w:rPr>
          <w:lang w:val="fr-FR"/>
        </w:rPr>
      </w:pPr>
      <w:r w:rsidRPr="00EF6F04">
        <w:rPr>
          <w:lang w:val="fr-FR"/>
        </w:rPr>
        <w:t>6</w:t>
      </w:r>
      <w:r w:rsidR="00E77CB3" w:rsidRPr="00EF6F04">
        <w:rPr>
          <w:lang w:val="fr-FR"/>
        </w:rPr>
        <w:t>.  </w:t>
      </w:r>
      <w:r w:rsidR="00E77CB3" w:rsidRPr="00EF6F04">
        <w:rPr>
          <w:i/>
          <w:lang w:val="fr-FR"/>
        </w:rPr>
        <w:t>Dit</w:t>
      </w:r>
      <w:r w:rsidR="009A4160" w:rsidRPr="00EF6F04">
        <w:rPr>
          <w:lang w:val="fr-FR"/>
        </w:rPr>
        <w:t>,</w:t>
      </w:r>
    </w:p>
    <w:p w:rsidR="00E77CB3" w:rsidRPr="00EF6F04" w:rsidRDefault="00E77CB3" w:rsidP="00EF6F04">
      <w:pPr>
        <w:pStyle w:val="JuLista"/>
        <w:rPr>
          <w:lang w:val="fr-FR" w:eastAsia="en-GB"/>
        </w:rPr>
      </w:pPr>
      <w:r w:rsidRPr="00EF6F04">
        <w:rPr>
          <w:lang w:val="fr-FR"/>
        </w:rPr>
        <w:t>a)  que l</w:t>
      </w:r>
      <w:r w:rsidR="00EF6F04" w:rsidRPr="00EF6F04">
        <w:rPr>
          <w:lang w:val="fr-FR"/>
        </w:rPr>
        <w:t>’</w:t>
      </w:r>
      <w:r w:rsidRPr="00EF6F04">
        <w:rPr>
          <w:lang w:val="fr-FR"/>
        </w:rPr>
        <w:t xml:space="preserve">État défendeur doit verser </w:t>
      </w:r>
      <w:r w:rsidR="00F85F7A" w:rsidRPr="00EF6F04">
        <w:rPr>
          <w:lang w:val="fr-FR"/>
        </w:rPr>
        <w:t xml:space="preserve">pour chaque </w:t>
      </w:r>
      <w:r w:rsidR="00294F32" w:rsidRPr="00EF6F04">
        <w:rPr>
          <w:lang w:val="fr-FR"/>
        </w:rPr>
        <w:t>requête</w:t>
      </w:r>
      <w:r w:rsidRPr="00EF6F04">
        <w:rPr>
          <w:lang w:val="fr-FR"/>
        </w:rPr>
        <w:t>, dans les trois mois</w:t>
      </w:r>
      <w:r w:rsidR="008151BB" w:rsidRPr="00EF6F04">
        <w:rPr>
          <w:lang w:val="fr-FR"/>
        </w:rPr>
        <w:t xml:space="preserve"> </w:t>
      </w:r>
      <w:r w:rsidR="009A4160" w:rsidRPr="00EF6F04">
        <w:rPr>
          <w:lang w:val="fr-FR"/>
        </w:rPr>
        <w:t>à compter du jour où l</w:t>
      </w:r>
      <w:r w:rsidR="00EF6F04" w:rsidRPr="00EF6F04">
        <w:rPr>
          <w:lang w:val="fr-FR"/>
        </w:rPr>
        <w:t>’</w:t>
      </w:r>
      <w:r w:rsidR="009A4160" w:rsidRPr="00EF6F04">
        <w:rPr>
          <w:lang w:val="fr-FR"/>
        </w:rPr>
        <w:t>arrêt sera devenu définitif conformément à l</w:t>
      </w:r>
      <w:r w:rsidR="00EF6F04" w:rsidRPr="00EF6F04">
        <w:rPr>
          <w:lang w:val="fr-FR"/>
        </w:rPr>
        <w:t>’</w:t>
      </w:r>
      <w:r w:rsidR="009A4160" w:rsidRPr="00EF6F04">
        <w:rPr>
          <w:lang w:val="fr-FR"/>
        </w:rPr>
        <w:t>article 44 § 2 de la Convention</w:t>
      </w:r>
      <w:r w:rsidRPr="00EF6F04">
        <w:rPr>
          <w:lang w:val="fr-FR"/>
        </w:rPr>
        <w:t>, l</w:t>
      </w:r>
      <w:r w:rsidR="0017026E" w:rsidRPr="00EF6F04">
        <w:rPr>
          <w:lang w:val="fr-FR"/>
        </w:rPr>
        <w:t>a somme</w:t>
      </w:r>
      <w:r w:rsidR="00F64E0D" w:rsidRPr="00EF6F04">
        <w:rPr>
          <w:lang w:val="fr-FR"/>
        </w:rPr>
        <w:t xml:space="preserve"> de </w:t>
      </w:r>
      <w:r w:rsidR="008151BB" w:rsidRPr="00EF6F04">
        <w:rPr>
          <w:lang w:val="fr-FR" w:eastAsia="en-GB"/>
        </w:rPr>
        <w:t>22 000</w:t>
      </w:r>
      <w:r w:rsidRPr="00EF6F04">
        <w:rPr>
          <w:lang w:val="fr-FR" w:eastAsia="en-GB"/>
        </w:rPr>
        <w:t xml:space="preserve"> EUR (</w:t>
      </w:r>
      <w:r w:rsidR="008151BB" w:rsidRPr="00EF6F04">
        <w:rPr>
          <w:lang w:val="fr-FR" w:eastAsia="en-GB"/>
        </w:rPr>
        <w:t>vingt</w:t>
      </w:r>
      <w:r w:rsidR="00F64E0D" w:rsidRPr="00EF6F04">
        <w:rPr>
          <w:lang w:val="fr-FR" w:eastAsia="en-GB"/>
        </w:rPr>
        <w:noBreakHyphen/>
      </w:r>
      <w:r w:rsidR="008151BB" w:rsidRPr="00EF6F04">
        <w:rPr>
          <w:lang w:val="fr-FR" w:eastAsia="en-GB"/>
        </w:rPr>
        <w:t>deux</w:t>
      </w:r>
      <w:r w:rsidR="00F64E0D" w:rsidRPr="00EF6F04">
        <w:rPr>
          <w:lang w:val="fr-FR" w:eastAsia="en-GB"/>
        </w:rPr>
        <w:noBreakHyphen/>
      </w:r>
      <w:r w:rsidR="008151BB" w:rsidRPr="00EF6F04">
        <w:rPr>
          <w:lang w:val="fr-FR" w:eastAsia="en-GB"/>
        </w:rPr>
        <w:t>mille euros)</w:t>
      </w:r>
      <w:r w:rsidRPr="00EF6F04">
        <w:rPr>
          <w:lang w:val="fr-FR" w:eastAsia="en-GB"/>
        </w:rPr>
        <w:t>, plus tout montant pouvant être dû à titre d</w:t>
      </w:r>
      <w:r w:rsidR="00EF6F04" w:rsidRPr="00EF6F04">
        <w:rPr>
          <w:lang w:val="fr-FR" w:eastAsia="en-GB"/>
        </w:rPr>
        <w:t>’</w:t>
      </w:r>
      <w:r w:rsidRPr="00EF6F04">
        <w:rPr>
          <w:lang w:val="fr-FR" w:eastAsia="en-GB"/>
        </w:rPr>
        <w:t>impôt, pour dommage m</w:t>
      </w:r>
      <w:r w:rsidR="008151BB" w:rsidRPr="00EF6F04">
        <w:rPr>
          <w:lang w:val="fr-FR" w:eastAsia="en-GB"/>
        </w:rPr>
        <w:t>oral ;</w:t>
      </w:r>
    </w:p>
    <w:p w:rsidR="00E77CB3" w:rsidRPr="00EF6F04" w:rsidRDefault="00E77CB3" w:rsidP="00EF6F04">
      <w:pPr>
        <w:pStyle w:val="JuLista"/>
        <w:rPr>
          <w:lang w:val="fr-FR"/>
        </w:rPr>
      </w:pPr>
      <w:r w:rsidRPr="00EF6F04">
        <w:rPr>
          <w:lang w:val="fr-FR"/>
        </w:rPr>
        <w:t>b)  qu</w:t>
      </w:r>
      <w:r w:rsidR="00EF6F04" w:rsidRPr="00EF6F04">
        <w:rPr>
          <w:lang w:val="fr-FR"/>
        </w:rPr>
        <w:t>’</w:t>
      </w:r>
      <w:r w:rsidRPr="00EF6F04">
        <w:rPr>
          <w:lang w:val="fr-FR"/>
        </w:rPr>
        <w:t>à compter de l</w:t>
      </w:r>
      <w:r w:rsidR="00EF6F04" w:rsidRPr="00EF6F04">
        <w:rPr>
          <w:lang w:val="fr-FR"/>
        </w:rPr>
        <w:t>’</w:t>
      </w:r>
      <w:r w:rsidRPr="00EF6F04">
        <w:rPr>
          <w:lang w:val="fr-FR"/>
        </w:rPr>
        <w:t>expiration dudit délai et jusqu</w:t>
      </w:r>
      <w:r w:rsidR="00EF6F04" w:rsidRPr="00EF6F04">
        <w:rPr>
          <w:lang w:val="fr-FR"/>
        </w:rPr>
        <w:t>’</w:t>
      </w:r>
      <w:r w:rsidRPr="00EF6F04">
        <w:rPr>
          <w:lang w:val="fr-FR"/>
        </w:rPr>
        <w:t>au versement, ce montant ser</w:t>
      </w:r>
      <w:r w:rsidR="00F85F7A" w:rsidRPr="00EF6F04">
        <w:rPr>
          <w:lang w:val="fr-FR"/>
        </w:rPr>
        <w:t>a</w:t>
      </w:r>
      <w:r w:rsidRPr="00EF6F04">
        <w:rPr>
          <w:lang w:val="fr-FR"/>
        </w:rPr>
        <w:t xml:space="preserve"> à majorer d</w:t>
      </w:r>
      <w:r w:rsidR="00EF6F04" w:rsidRPr="00EF6F04">
        <w:rPr>
          <w:lang w:val="fr-FR"/>
        </w:rPr>
        <w:t>’</w:t>
      </w:r>
      <w:r w:rsidRPr="00EF6F04">
        <w:rPr>
          <w:lang w:val="fr-FR"/>
        </w:rPr>
        <w:t xml:space="preserve">un intérêt simple à un taux égal à celui de la facilité de prêt marginal de la Banque centrale européenne applicable pendant cette période, augmenté </w:t>
      </w:r>
      <w:r w:rsidR="008151BB" w:rsidRPr="00EF6F04">
        <w:rPr>
          <w:lang w:val="fr-FR"/>
        </w:rPr>
        <w:t>de trois points de pourcentage ;</w:t>
      </w:r>
    </w:p>
    <w:p w:rsidR="00E77CB3" w:rsidRPr="00EF6F04" w:rsidRDefault="00E77CB3" w:rsidP="00EF6F04">
      <w:pPr>
        <w:pStyle w:val="JuLista"/>
        <w:rPr>
          <w:lang w:val="fr-FR"/>
        </w:rPr>
      </w:pPr>
    </w:p>
    <w:p w:rsidR="00E77CB3" w:rsidRPr="00EF6F04" w:rsidRDefault="00692916" w:rsidP="00EF6F04">
      <w:pPr>
        <w:pStyle w:val="JuList"/>
        <w:rPr>
          <w:lang w:val="fr-FR"/>
        </w:rPr>
      </w:pPr>
      <w:r w:rsidRPr="00EF6F04">
        <w:rPr>
          <w:lang w:val="fr-FR"/>
        </w:rPr>
        <w:t>7</w:t>
      </w:r>
      <w:r w:rsidR="00E77CB3" w:rsidRPr="00EF6F04">
        <w:rPr>
          <w:lang w:val="fr-FR"/>
        </w:rPr>
        <w:t>.  </w:t>
      </w:r>
      <w:r w:rsidR="00E77CB3" w:rsidRPr="00EF6F04">
        <w:rPr>
          <w:i/>
          <w:lang w:val="fr-FR"/>
        </w:rPr>
        <w:t>Rejette</w:t>
      </w:r>
      <w:r w:rsidR="009A4160" w:rsidRPr="00EF6F04">
        <w:rPr>
          <w:lang w:val="fr-FR"/>
        </w:rPr>
        <w:t xml:space="preserve">, </w:t>
      </w:r>
      <w:r w:rsidR="00E77CB3" w:rsidRPr="00EF6F04">
        <w:rPr>
          <w:lang w:val="fr-FR"/>
        </w:rPr>
        <w:t>la demande de satisfaction équitable pour le surplus.</w:t>
      </w:r>
    </w:p>
    <w:p w:rsidR="00E77CB3" w:rsidRPr="00EF6F04" w:rsidRDefault="00E77CB3" w:rsidP="00EF6F04">
      <w:pPr>
        <w:pStyle w:val="JuParaLast"/>
        <w:rPr>
          <w:lang w:val="fr-FR"/>
        </w:rPr>
      </w:pPr>
      <w:r w:rsidRPr="00EF6F04">
        <w:rPr>
          <w:lang w:val="fr-FR"/>
        </w:rPr>
        <w:t>Fait en français, puis communiqué par écrit le </w:t>
      </w:r>
      <w:r w:rsidR="002C62ED" w:rsidRPr="00EF6F04">
        <w:rPr>
          <w:lang w:val="fr-FR"/>
        </w:rPr>
        <w:t>25 février 2016</w:t>
      </w:r>
      <w:r w:rsidRPr="00EF6F04">
        <w:rPr>
          <w:lang w:val="fr-FR"/>
        </w:rPr>
        <w:t>, en application de l</w:t>
      </w:r>
      <w:r w:rsidR="00EF6F04" w:rsidRPr="00EF6F04">
        <w:rPr>
          <w:lang w:val="fr-FR"/>
        </w:rPr>
        <w:t>’</w:t>
      </w:r>
      <w:r w:rsidRPr="00EF6F04">
        <w:rPr>
          <w:lang w:val="fr-FR"/>
        </w:rPr>
        <w:t>article 77 §§ 2 et 3 du règlement</w:t>
      </w:r>
      <w:r w:rsidR="00AC0824" w:rsidRPr="00EF6F04">
        <w:rPr>
          <w:lang w:val="fr-FR"/>
        </w:rPr>
        <w:t xml:space="preserve"> de la Cour</w:t>
      </w:r>
      <w:r w:rsidRPr="00EF6F04">
        <w:rPr>
          <w:lang w:val="fr-FR"/>
        </w:rPr>
        <w:t>.</w:t>
      </w:r>
    </w:p>
    <w:p w:rsidR="00A14E21" w:rsidRPr="00EF6F04" w:rsidRDefault="009A4160" w:rsidP="00EF6F04">
      <w:pPr>
        <w:pStyle w:val="JuSigned"/>
        <w:tabs>
          <w:tab w:val="clear" w:pos="6407"/>
          <w:tab w:val="center" w:pos="5954"/>
        </w:tabs>
        <w:rPr>
          <w:lang w:val="fr-FR"/>
        </w:rPr>
      </w:pPr>
      <w:r w:rsidRPr="00EF6F04">
        <w:rPr>
          <w:lang w:val="fr-FR"/>
        </w:rPr>
        <w:tab/>
      </w:r>
      <w:r w:rsidR="00CB3C51" w:rsidRPr="00EF6F04">
        <w:rPr>
          <w:lang w:val="fr-FR"/>
        </w:rPr>
        <w:t>André Wampach</w:t>
      </w:r>
      <w:r w:rsidR="00E77CB3" w:rsidRPr="00EF6F04">
        <w:rPr>
          <w:lang w:val="fr-FR"/>
        </w:rPr>
        <w:tab/>
      </w:r>
      <w:r w:rsidR="00CB3C51" w:rsidRPr="00EF6F04">
        <w:rPr>
          <w:lang w:val="fr-FR"/>
        </w:rPr>
        <w:t>Mirjana Lazarova Trajkovska</w:t>
      </w:r>
      <w:r w:rsidR="00E77CB3" w:rsidRPr="00EF6F04">
        <w:rPr>
          <w:lang w:val="fr-FR"/>
        </w:rPr>
        <w:br/>
      </w:r>
      <w:r w:rsidR="00E77CB3" w:rsidRPr="00EF6F04">
        <w:rPr>
          <w:lang w:val="fr-FR"/>
        </w:rPr>
        <w:tab/>
      </w:r>
      <w:r w:rsidRPr="00EF6F04">
        <w:rPr>
          <w:lang w:val="fr-FR"/>
        </w:rPr>
        <w:t>Greffier</w:t>
      </w:r>
      <w:r w:rsidR="00CB3C51" w:rsidRPr="00EF6F04">
        <w:rPr>
          <w:lang w:val="fr-FR"/>
        </w:rPr>
        <w:t xml:space="preserve"> adjoint</w:t>
      </w:r>
      <w:r w:rsidR="00E77CB3" w:rsidRPr="00EF6F04">
        <w:rPr>
          <w:lang w:val="fr-FR"/>
        </w:rPr>
        <w:tab/>
      </w:r>
      <w:r w:rsidRPr="00EF6F04">
        <w:rPr>
          <w:lang w:val="fr-FR"/>
        </w:rPr>
        <w:t>Présidente</w:t>
      </w:r>
    </w:p>
    <w:p w:rsidR="00AF5649" w:rsidRPr="00EF6F04" w:rsidRDefault="00AF5649" w:rsidP="00EF6F04">
      <w:pPr>
        <w:pStyle w:val="JuParaLast"/>
        <w:rPr>
          <w:lang w:val="fr-FR"/>
        </w:rPr>
      </w:pPr>
    </w:p>
    <w:p w:rsidR="00B5384E" w:rsidRPr="00EF6F04" w:rsidRDefault="00B5384E" w:rsidP="00EF6F04">
      <w:pPr>
        <w:pStyle w:val="ECHRPara"/>
        <w:rPr>
          <w:lang w:val="fr-FR"/>
        </w:rPr>
        <w:sectPr w:rsidR="00B5384E" w:rsidRPr="00EF6F04" w:rsidSect="00C0074C">
          <w:headerReference w:type="even" r:id="rId14"/>
          <w:headerReference w:type="default" r:id="rId15"/>
          <w:footnotePr>
            <w:numRestart w:val="eachPage"/>
          </w:footnotePr>
          <w:type w:val="oddPage"/>
          <w:pgSz w:w="11906" w:h="16838" w:code="9"/>
          <w:pgMar w:top="2274" w:right="2274" w:bottom="2274" w:left="2274" w:header="1707" w:footer="720" w:gutter="0"/>
          <w:pgNumType w:start="1"/>
          <w:cols w:space="720"/>
          <w:docGrid w:linePitch="326"/>
        </w:sectPr>
      </w:pPr>
    </w:p>
    <w:p w:rsidR="002230F3" w:rsidRPr="00EF6F04" w:rsidRDefault="000D0275" w:rsidP="00EF6F04">
      <w:pPr>
        <w:pStyle w:val="JuTitle"/>
        <w:tabs>
          <w:tab w:val="left" w:pos="4269"/>
          <w:tab w:val="left" w:pos="5712"/>
          <w:tab w:val="center" w:pos="6979"/>
        </w:tabs>
        <w:spacing w:before="240"/>
        <w:jc w:val="left"/>
        <w:rPr>
          <w:lang w:val="fr-FR"/>
        </w:rPr>
      </w:pPr>
      <w:r w:rsidRPr="00EF6F04">
        <w:rPr>
          <w:lang w:val="fr-FR"/>
        </w:rPr>
        <w:lastRenderedPageBreak/>
        <w:tab/>
      </w:r>
      <w:r w:rsidRPr="00EF6F04">
        <w:rPr>
          <w:lang w:val="fr-FR"/>
        </w:rPr>
        <w:tab/>
      </w:r>
      <w:r w:rsidR="00B5384E" w:rsidRPr="00EF6F04">
        <w:rPr>
          <w:lang w:val="fr-FR"/>
        </w:rPr>
        <w:tab/>
      </w:r>
      <w:r w:rsidR="002230F3" w:rsidRPr="00EF6F04">
        <w:rPr>
          <w:lang w:val="fr-FR"/>
        </w:rPr>
        <w:t>ANNEXE</w:t>
      </w:r>
    </w:p>
    <w:tbl>
      <w:tblPr>
        <w:tblW w:w="1355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40"/>
        <w:gridCol w:w="1417"/>
        <w:gridCol w:w="2294"/>
        <w:gridCol w:w="4227"/>
        <w:gridCol w:w="3260"/>
        <w:gridCol w:w="2015"/>
      </w:tblGrid>
      <w:tr w:rsidR="00D541E7" w:rsidRPr="00EF6F04" w:rsidTr="00221CFD">
        <w:trPr>
          <w:trHeight w:val="1252"/>
          <w:tblHeader/>
          <w:jc w:val="center"/>
        </w:trPr>
        <w:tc>
          <w:tcPr>
            <w:tcW w:w="340" w:type="dxa"/>
            <w:shd w:val="clear" w:color="auto" w:fill="E0E0E0"/>
            <w:vAlign w:val="center"/>
          </w:tcPr>
          <w:p w:rsidR="00D541E7" w:rsidRPr="00EF6F04" w:rsidRDefault="00D541E7" w:rsidP="00EF6F04">
            <w:pPr>
              <w:pStyle w:val="ECHRPara"/>
              <w:ind w:firstLine="0"/>
              <w:jc w:val="center"/>
              <w:rPr>
                <w:rFonts w:cstheme="minorHAnsi"/>
                <w:b/>
                <w:sz w:val="18"/>
                <w:szCs w:val="18"/>
                <w:lang w:val="fr-FR"/>
              </w:rPr>
            </w:pPr>
            <w:r w:rsidRPr="00EF6F04">
              <w:rPr>
                <w:rFonts w:cstheme="minorHAnsi"/>
                <w:b/>
                <w:sz w:val="18"/>
                <w:szCs w:val="18"/>
                <w:lang w:val="fr-FR"/>
              </w:rPr>
              <w:t>N</w:t>
            </w:r>
          </w:p>
        </w:tc>
        <w:tc>
          <w:tcPr>
            <w:tcW w:w="1417" w:type="dxa"/>
            <w:shd w:val="clear" w:color="auto" w:fill="E0E0E0"/>
            <w:vAlign w:val="center"/>
          </w:tcPr>
          <w:p w:rsidR="0056479F" w:rsidRPr="00EF6F04" w:rsidRDefault="00D541E7" w:rsidP="00EF6F04">
            <w:pPr>
              <w:pStyle w:val="ECHRPara"/>
              <w:ind w:firstLine="0"/>
              <w:jc w:val="center"/>
              <w:rPr>
                <w:rFonts w:cstheme="minorHAnsi"/>
                <w:b/>
                <w:sz w:val="18"/>
                <w:szCs w:val="18"/>
                <w:lang w:val="fr-FR"/>
              </w:rPr>
            </w:pPr>
            <w:r w:rsidRPr="00EF6F04">
              <w:rPr>
                <w:rFonts w:cstheme="minorHAnsi"/>
                <w:b/>
                <w:sz w:val="18"/>
                <w:szCs w:val="18"/>
                <w:lang w:val="fr-FR"/>
              </w:rPr>
              <w:t>N</w:t>
            </w:r>
            <w:r w:rsidRPr="00EF6F04">
              <w:rPr>
                <w:rFonts w:cstheme="minorHAnsi"/>
                <w:b/>
                <w:sz w:val="18"/>
                <w:szCs w:val="18"/>
                <w:vertAlign w:val="superscript"/>
                <w:lang w:val="fr-FR"/>
              </w:rPr>
              <w:t>o</w:t>
            </w:r>
            <w:r w:rsidRPr="00EF6F04">
              <w:rPr>
                <w:rFonts w:cstheme="minorHAnsi"/>
                <w:b/>
                <w:sz w:val="18"/>
                <w:szCs w:val="18"/>
                <w:lang w:val="fr-FR"/>
              </w:rPr>
              <w:t xml:space="preserve"> de requête</w:t>
            </w:r>
          </w:p>
          <w:p w:rsidR="00D541E7" w:rsidRPr="00EF6F04" w:rsidRDefault="00D541E7" w:rsidP="00EF6F04">
            <w:pPr>
              <w:pStyle w:val="ECHRPara"/>
              <w:ind w:firstLine="0"/>
              <w:jc w:val="center"/>
              <w:rPr>
                <w:rFonts w:cstheme="minorHAnsi"/>
                <w:b/>
                <w:sz w:val="18"/>
                <w:szCs w:val="18"/>
                <w:lang w:val="fr-FR"/>
              </w:rPr>
            </w:pPr>
            <w:r w:rsidRPr="00EF6F04">
              <w:rPr>
                <w:rFonts w:cstheme="minorHAnsi"/>
                <w:b/>
                <w:sz w:val="18"/>
                <w:szCs w:val="18"/>
                <w:lang w:val="fr-FR"/>
              </w:rPr>
              <w:t>Date d</w:t>
            </w:r>
            <w:r w:rsidR="00EF6F04" w:rsidRPr="00EF6F04">
              <w:rPr>
                <w:rFonts w:cstheme="minorHAnsi"/>
                <w:b/>
                <w:sz w:val="18"/>
                <w:szCs w:val="18"/>
                <w:lang w:val="fr-FR"/>
              </w:rPr>
              <w:t>’</w:t>
            </w:r>
            <w:r w:rsidRPr="00EF6F04">
              <w:rPr>
                <w:rFonts w:cstheme="minorHAnsi"/>
                <w:b/>
                <w:sz w:val="18"/>
                <w:szCs w:val="18"/>
                <w:lang w:val="fr-FR"/>
              </w:rPr>
              <w:t>introduction</w:t>
            </w:r>
          </w:p>
        </w:tc>
        <w:tc>
          <w:tcPr>
            <w:tcW w:w="2294" w:type="dxa"/>
            <w:shd w:val="clear" w:color="auto" w:fill="E0E0E0"/>
            <w:vAlign w:val="center"/>
          </w:tcPr>
          <w:p w:rsidR="00D541E7" w:rsidRPr="00EF6F04" w:rsidRDefault="00D541E7" w:rsidP="00EF6F04">
            <w:pPr>
              <w:pStyle w:val="ECHRPara"/>
              <w:jc w:val="left"/>
              <w:rPr>
                <w:rFonts w:cstheme="minorHAnsi"/>
                <w:b/>
                <w:sz w:val="18"/>
                <w:szCs w:val="18"/>
                <w:lang w:val="fr-FR"/>
              </w:rPr>
            </w:pPr>
            <w:r w:rsidRPr="00EF6F04">
              <w:rPr>
                <w:rFonts w:cstheme="minorHAnsi"/>
                <w:b/>
                <w:sz w:val="18"/>
                <w:szCs w:val="18"/>
                <w:lang w:val="fr-FR"/>
              </w:rPr>
              <w:t>Nom du requérant</w:t>
            </w:r>
          </w:p>
          <w:p w:rsidR="00D541E7" w:rsidRPr="00EF6F04" w:rsidRDefault="00D541E7" w:rsidP="00EF6F04">
            <w:pPr>
              <w:pStyle w:val="ECHRPara"/>
              <w:jc w:val="left"/>
              <w:rPr>
                <w:rFonts w:cstheme="minorHAnsi"/>
                <w:b/>
                <w:sz w:val="18"/>
                <w:szCs w:val="18"/>
                <w:lang w:val="fr-FR"/>
              </w:rPr>
            </w:pPr>
            <w:r w:rsidRPr="00EF6F04">
              <w:rPr>
                <w:rFonts w:cstheme="minorHAnsi"/>
                <w:b/>
                <w:sz w:val="18"/>
                <w:szCs w:val="18"/>
                <w:lang w:val="fr-FR"/>
              </w:rPr>
              <w:t>Date de naissance</w:t>
            </w:r>
          </w:p>
          <w:p w:rsidR="00D541E7" w:rsidRPr="00EF6F04" w:rsidRDefault="00D541E7" w:rsidP="00EF6F04">
            <w:pPr>
              <w:pStyle w:val="ECHRPara"/>
              <w:jc w:val="left"/>
              <w:rPr>
                <w:rFonts w:cstheme="minorHAnsi"/>
                <w:b/>
                <w:sz w:val="18"/>
                <w:szCs w:val="18"/>
                <w:lang w:val="fr-FR"/>
              </w:rPr>
            </w:pPr>
            <w:r w:rsidRPr="00EF6F04">
              <w:rPr>
                <w:rFonts w:cstheme="minorHAnsi"/>
                <w:b/>
                <w:sz w:val="18"/>
                <w:szCs w:val="18"/>
                <w:lang w:val="fr-FR"/>
              </w:rPr>
              <w:t>Lieu de résidence</w:t>
            </w:r>
          </w:p>
        </w:tc>
        <w:tc>
          <w:tcPr>
            <w:tcW w:w="4227" w:type="dxa"/>
            <w:shd w:val="clear" w:color="auto" w:fill="E0E0E0"/>
            <w:vAlign w:val="center"/>
          </w:tcPr>
          <w:p w:rsidR="00D541E7" w:rsidRPr="00EF6F04" w:rsidRDefault="00D541E7" w:rsidP="00EF6F04">
            <w:pPr>
              <w:jc w:val="center"/>
              <w:rPr>
                <w:rFonts w:cstheme="minorHAnsi"/>
                <w:b/>
                <w:sz w:val="18"/>
                <w:szCs w:val="18"/>
                <w:lang w:val="fr-FR"/>
              </w:rPr>
            </w:pPr>
            <w:r w:rsidRPr="00EF6F04">
              <w:rPr>
                <w:rFonts w:cstheme="minorHAnsi"/>
                <w:b/>
                <w:sz w:val="18"/>
                <w:szCs w:val="18"/>
                <w:lang w:val="fr-FR"/>
              </w:rPr>
              <w:t>Procédure administrative</w:t>
            </w:r>
          </w:p>
          <w:p w:rsidR="00D541E7" w:rsidRPr="00EF6F04" w:rsidRDefault="00D541E7" w:rsidP="00EF6F04">
            <w:pPr>
              <w:jc w:val="center"/>
              <w:rPr>
                <w:rFonts w:cstheme="minorHAnsi"/>
                <w:b/>
                <w:sz w:val="18"/>
                <w:szCs w:val="18"/>
                <w:lang w:val="fr-FR"/>
              </w:rPr>
            </w:pPr>
            <w:r w:rsidRPr="00EF6F04">
              <w:rPr>
                <w:rFonts w:cstheme="minorHAnsi"/>
                <w:b/>
                <w:sz w:val="18"/>
                <w:szCs w:val="18"/>
                <w:lang w:val="fr-FR"/>
              </w:rPr>
              <w:t>TAR Campanie</w:t>
            </w:r>
          </w:p>
          <w:p w:rsidR="00D541E7" w:rsidRPr="00EF6F04" w:rsidRDefault="00D541E7" w:rsidP="00EF6F04">
            <w:pPr>
              <w:jc w:val="center"/>
              <w:rPr>
                <w:rFonts w:cstheme="minorHAnsi"/>
                <w:b/>
                <w:sz w:val="18"/>
                <w:szCs w:val="18"/>
                <w:lang w:val="fr-FR"/>
              </w:rPr>
            </w:pPr>
            <w:r w:rsidRPr="00EF6F04">
              <w:rPr>
                <w:rFonts w:cstheme="minorHAnsi"/>
                <w:b/>
                <w:sz w:val="18"/>
                <w:szCs w:val="18"/>
                <w:lang w:val="fr-FR"/>
              </w:rPr>
              <w:t>Durée de la procédure</w:t>
            </w:r>
          </w:p>
        </w:tc>
        <w:tc>
          <w:tcPr>
            <w:tcW w:w="3260" w:type="dxa"/>
            <w:shd w:val="clear" w:color="auto" w:fill="E0E0E0"/>
            <w:vAlign w:val="center"/>
          </w:tcPr>
          <w:p w:rsidR="00D541E7" w:rsidRPr="00EF6F04" w:rsidRDefault="00D541E7" w:rsidP="00EF6F04">
            <w:pPr>
              <w:jc w:val="center"/>
              <w:rPr>
                <w:rFonts w:cstheme="minorHAnsi"/>
                <w:b/>
                <w:sz w:val="18"/>
                <w:szCs w:val="18"/>
                <w:lang w:val="fr-FR"/>
              </w:rPr>
            </w:pPr>
            <w:r w:rsidRPr="00EF6F04">
              <w:rPr>
                <w:rFonts w:cstheme="minorHAnsi"/>
                <w:b/>
                <w:sz w:val="18"/>
                <w:szCs w:val="18"/>
                <w:lang w:val="fr-FR"/>
              </w:rPr>
              <w:t>Procédure « Pinto »</w:t>
            </w:r>
          </w:p>
          <w:p w:rsidR="00D541E7" w:rsidRPr="00EF6F04" w:rsidRDefault="00D541E7" w:rsidP="00EF6F04">
            <w:pPr>
              <w:jc w:val="left"/>
              <w:rPr>
                <w:rFonts w:cstheme="minorHAnsi"/>
                <w:b/>
                <w:sz w:val="18"/>
                <w:szCs w:val="18"/>
                <w:lang w:val="fr-FR"/>
              </w:rPr>
            </w:pPr>
          </w:p>
        </w:tc>
        <w:tc>
          <w:tcPr>
            <w:tcW w:w="2015" w:type="dxa"/>
            <w:shd w:val="clear" w:color="auto" w:fill="E0E0E0"/>
            <w:vAlign w:val="center"/>
          </w:tcPr>
          <w:p w:rsidR="00D541E7" w:rsidRPr="00EF6F04" w:rsidRDefault="00D541E7" w:rsidP="00EF6F04">
            <w:pPr>
              <w:jc w:val="center"/>
              <w:rPr>
                <w:rFonts w:cstheme="minorHAnsi"/>
                <w:b/>
                <w:sz w:val="18"/>
                <w:szCs w:val="18"/>
                <w:lang w:val="fr-FR"/>
              </w:rPr>
            </w:pPr>
            <w:r w:rsidRPr="00EF6F04">
              <w:rPr>
                <w:rFonts w:cstheme="minorHAnsi"/>
                <w:b/>
                <w:sz w:val="18"/>
                <w:szCs w:val="18"/>
                <w:lang w:val="fr-FR"/>
              </w:rPr>
              <w:t>Demande de satisfaction équitable</w:t>
            </w:r>
          </w:p>
        </w:tc>
      </w:tr>
      <w:tr w:rsidR="00D541E7" w:rsidRPr="00EF6F04" w:rsidTr="00C0074C">
        <w:trPr>
          <w:trHeight w:val="2785"/>
          <w:jc w:val="center"/>
        </w:trPr>
        <w:tc>
          <w:tcPr>
            <w:tcW w:w="340" w:type="dxa"/>
            <w:shd w:val="clear" w:color="auto" w:fill="auto"/>
            <w:vAlign w:val="center"/>
          </w:tcPr>
          <w:p w:rsidR="00D541E7" w:rsidRPr="00EF6F04" w:rsidRDefault="00D541E7" w:rsidP="00EF6F04">
            <w:pPr>
              <w:numPr>
                <w:ilvl w:val="0"/>
                <w:numId w:val="15"/>
              </w:numPr>
              <w:suppressAutoHyphens/>
              <w:ind w:left="357" w:hanging="357"/>
              <w:jc w:val="center"/>
              <w:rPr>
                <w:rFonts w:cstheme="minorHAnsi"/>
                <w:b/>
                <w:sz w:val="18"/>
                <w:szCs w:val="18"/>
                <w:lang w:val="fr-FR"/>
              </w:rPr>
            </w:pPr>
          </w:p>
        </w:tc>
        <w:tc>
          <w:tcPr>
            <w:tcW w:w="1417" w:type="dxa"/>
            <w:shd w:val="clear" w:color="auto" w:fill="auto"/>
            <w:vAlign w:val="center"/>
          </w:tcPr>
          <w:p w:rsidR="0056479F" w:rsidRPr="00EF6F04" w:rsidRDefault="00D541E7" w:rsidP="00EF6F04">
            <w:pPr>
              <w:suppressAutoHyphens/>
              <w:jc w:val="center"/>
              <w:rPr>
                <w:rStyle w:val="column01"/>
                <w:rFonts w:cstheme="minorHAnsi"/>
                <w:b/>
                <w:sz w:val="18"/>
                <w:szCs w:val="18"/>
                <w:lang w:val="fr-FR"/>
              </w:rPr>
            </w:pPr>
            <w:r w:rsidRPr="00EF6F04">
              <w:rPr>
                <w:rStyle w:val="column01"/>
                <w:rFonts w:cstheme="minorHAnsi"/>
                <w:b/>
                <w:sz w:val="18"/>
                <w:szCs w:val="18"/>
                <w:lang w:val="fr-FR"/>
              </w:rPr>
              <w:t>17708/12</w:t>
            </w:r>
          </w:p>
          <w:p w:rsidR="0056479F" w:rsidRPr="00EF6F04" w:rsidRDefault="0056479F" w:rsidP="00EF6F04">
            <w:pPr>
              <w:suppressAutoHyphens/>
              <w:jc w:val="center"/>
              <w:rPr>
                <w:rStyle w:val="column01"/>
                <w:rFonts w:cstheme="minorHAnsi"/>
                <w:sz w:val="18"/>
                <w:szCs w:val="18"/>
                <w:lang w:val="fr-FR"/>
              </w:rPr>
            </w:pPr>
          </w:p>
          <w:p w:rsidR="00D541E7" w:rsidRPr="00EF6F04" w:rsidRDefault="00D541E7" w:rsidP="00EF6F04">
            <w:pPr>
              <w:suppressAutoHyphens/>
              <w:jc w:val="center"/>
              <w:rPr>
                <w:rStyle w:val="column01"/>
                <w:rFonts w:cstheme="minorHAnsi"/>
                <w:b/>
                <w:sz w:val="18"/>
                <w:szCs w:val="18"/>
                <w:lang w:val="fr-FR"/>
              </w:rPr>
            </w:pPr>
            <w:r w:rsidRPr="00EF6F04">
              <w:rPr>
                <w:rStyle w:val="column01"/>
                <w:rFonts w:cstheme="minorHAnsi"/>
                <w:b/>
                <w:sz w:val="18"/>
                <w:szCs w:val="18"/>
                <w:lang w:val="fr-FR"/>
              </w:rPr>
              <w:t>02/03/2012</w:t>
            </w:r>
          </w:p>
        </w:tc>
        <w:tc>
          <w:tcPr>
            <w:tcW w:w="2294" w:type="dxa"/>
            <w:shd w:val="clear" w:color="auto" w:fill="auto"/>
            <w:vAlign w:val="center"/>
          </w:tcPr>
          <w:p w:rsidR="00D541E7" w:rsidRPr="00EF6F04" w:rsidRDefault="00D541E7" w:rsidP="00EF6F04">
            <w:pPr>
              <w:suppressAutoHyphens/>
              <w:jc w:val="center"/>
              <w:rPr>
                <w:rStyle w:val="column02"/>
                <w:rFonts w:cstheme="minorHAnsi"/>
                <w:b/>
                <w:sz w:val="18"/>
                <w:szCs w:val="18"/>
                <w:lang w:val="fr-FR"/>
              </w:rPr>
            </w:pPr>
            <w:r w:rsidRPr="00EF6F04">
              <w:rPr>
                <w:rStyle w:val="column02"/>
                <w:rFonts w:cstheme="minorHAnsi"/>
                <w:b/>
                <w:sz w:val="18"/>
                <w:szCs w:val="18"/>
                <w:lang w:val="fr-FR"/>
              </w:rPr>
              <w:t>Giuseppe OLIVIERI</w:t>
            </w:r>
          </w:p>
          <w:p w:rsidR="00D541E7" w:rsidRPr="00EF6F04" w:rsidRDefault="00D541E7" w:rsidP="00EF6F04">
            <w:pPr>
              <w:suppressAutoHyphens/>
              <w:jc w:val="center"/>
              <w:rPr>
                <w:rStyle w:val="column02"/>
                <w:rFonts w:cstheme="minorHAnsi"/>
                <w:sz w:val="18"/>
                <w:szCs w:val="18"/>
                <w:lang w:val="fr-FR"/>
              </w:rPr>
            </w:pPr>
            <w:r w:rsidRPr="00EF6F04">
              <w:rPr>
                <w:rStyle w:val="column02"/>
                <w:rFonts w:cstheme="minorHAnsi"/>
                <w:sz w:val="18"/>
                <w:szCs w:val="18"/>
                <w:lang w:val="fr-FR"/>
              </w:rPr>
              <w:t>06/11/1926</w:t>
            </w:r>
          </w:p>
          <w:p w:rsidR="00D541E7" w:rsidRPr="00EF6F04" w:rsidRDefault="00D541E7" w:rsidP="00EF6F04">
            <w:pPr>
              <w:suppressAutoHyphens/>
              <w:jc w:val="center"/>
              <w:rPr>
                <w:rStyle w:val="column02"/>
                <w:rFonts w:cstheme="minorHAnsi"/>
                <w:sz w:val="18"/>
                <w:szCs w:val="18"/>
                <w:lang w:val="fr-FR"/>
              </w:rPr>
            </w:pPr>
            <w:r w:rsidRPr="00EF6F04">
              <w:rPr>
                <w:rStyle w:val="column02"/>
                <w:rFonts w:cstheme="minorHAnsi"/>
                <w:sz w:val="18"/>
                <w:szCs w:val="18"/>
                <w:lang w:val="fr-FR"/>
              </w:rPr>
              <w:t>Bénévent</w:t>
            </w:r>
          </w:p>
          <w:p w:rsidR="00D541E7" w:rsidRPr="00EF6F04" w:rsidRDefault="00D541E7" w:rsidP="00EF6F04">
            <w:pPr>
              <w:suppressAutoHyphens/>
              <w:jc w:val="center"/>
              <w:rPr>
                <w:rStyle w:val="column02"/>
                <w:rFonts w:cstheme="minorHAnsi"/>
                <w:sz w:val="18"/>
                <w:szCs w:val="18"/>
                <w:lang w:val="fr-FR"/>
              </w:rPr>
            </w:pPr>
          </w:p>
        </w:tc>
        <w:tc>
          <w:tcPr>
            <w:tcW w:w="4227" w:type="dxa"/>
            <w:shd w:val="clear" w:color="auto" w:fill="auto"/>
            <w:vAlign w:val="center"/>
          </w:tcPr>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Recours introduit le 23 août 1990</w:t>
            </w: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(RG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 xml:space="preserve"> 5434/90)</w:t>
            </w:r>
          </w:p>
          <w:p w:rsidR="00D541E7" w:rsidRPr="00EF6F04" w:rsidRDefault="00D541E7" w:rsidP="00EF6F04">
            <w:pPr>
              <w:jc w:val="left"/>
              <w:rPr>
                <w:rStyle w:val="column03"/>
                <w:rFonts w:cstheme="minorHAnsi"/>
                <w:sz w:val="18"/>
                <w:szCs w:val="18"/>
                <w:lang w:val="fr-FR"/>
              </w:rPr>
            </w:pPr>
          </w:p>
          <w:p w:rsidR="00975966" w:rsidRPr="00EF6F04" w:rsidRDefault="00975966"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28/08/1990</w:t>
            </w:r>
          </w:p>
          <w:p w:rsidR="00975966" w:rsidRPr="00EF6F04" w:rsidRDefault="00975966" w:rsidP="00EF6F04">
            <w:pPr>
              <w:jc w:val="left"/>
              <w:rPr>
                <w:rStyle w:val="column03"/>
                <w:rFonts w:cstheme="minorHAnsi"/>
                <w:sz w:val="18"/>
                <w:szCs w:val="18"/>
                <w:lang w:val="fr-FR"/>
              </w:rPr>
            </w:pP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30/07/2008</w:t>
            </w:r>
          </w:p>
          <w:p w:rsidR="00975966" w:rsidRPr="00EF6F04" w:rsidRDefault="00975966" w:rsidP="00EF6F04">
            <w:pPr>
              <w:jc w:val="left"/>
              <w:rPr>
                <w:rStyle w:val="column03"/>
                <w:rFonts w:cstheme="minorHAnsi"/>
                <w:sz w:val="18"/>
                <w:szCs w:val="18"/>
                <w:lang w:val="fr-FR"/>
              </w:rPr>
            </w:pP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Date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20/11/2008</w:t>
            </w:r>
          </w:p>
          <w:p w:rsidR="00975966" w:rsidRPr="00EF6F04" w:rsidRDefault="00975966" w:rsidP="00EF6F04">
            <w:pPr>
              <w:jc w:val="left"/>
              <w:rPr>
                <w:rStyle w:val="column03"/>
                <w:rFonts w:cstheme="minorHAnsi"/>
                <w:sz w:val="18"/>
                <w:szCs w:val="18"/>
                <w:lang w:val="fr-FR"/>
              </w:rPr>
            </w:pP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Arrêt du 5/12/2008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 xml:space="preserve"> 21017/08)</w:t>
            </w:r>
          </w:p>
          <w:p w:rsidR="00D541E7" w:rsidRPr="00EF6F04" w:rsidRDefault="00D541E7" w:rsidP="00EF6F04">
            <w:pPr>
              <w:jc w:val="left"/>
              <w:rPr>
                <w:rStyle w:val="column03"/>
                <w:rFonts w:cstheme="minorHAnsi"/>
                <w:sz w:val="18"/>
                <w:szCs w:val="18"/>
                <w:lang w:val="fr-FR"/>
              </w:rPr>
            </w:pPr>
          </w:p>
          <w:p w:rsidR="0056479F"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Durée : 18 ans et 3 mois</w:t>
            </w:r>
          </w:p>
        </w:tc>
        <w:tc>
          <w:tcPr>
            <w:tcW w:w="3260" w:type="dxa"/>
            <w:shd w:val="clear" w:color="auto" w:fill="auto"/>
            <w:vAlign w:val="center"/>
          </w:tcPr>
          <w:p w:rsidR="00D541E7" w:rsidRPr="00EF6F04" w:rsidRDefault="00D541E7" w:rsidP="00EF6F04">
            <w:pPr>
              <w:jc w:val="left"/>
              <w:rPr>
                <w:rStyle w:val="column04"/>
                <w:rFonts w:cstheme="minorHAnsi"/>
                <w:sz w:val="18"/>
                <w:szCs w:val="18"/>
                <w:lang w:val="fr-FR"/>
              </w:rPr>
            </w:pPr>
            <w:r w:rsidRPr="00EF6F04">
              <w:rPr>
                <w:rStyle w:val="column04"/>
                <w:rFonts w:cstheme="minorHAnsi"/>
                <w:sz w:val="18"/>
                <w:szCs w:val="18"/>
                <w:lang w:val="fr-FR"/>
              </w:rPr>
              <w:t>Date d</w:t>
            </w:r>
            <w:r w:rsidR="00EF6F04" w:rsidRPr="00EF6F04">
              <w:rPr>
                <w:rStyle w:val="column04"/>
                <w:rFonts w:cstheme="minorHAnsi"/>
                <w:sz w:val="18"/>
                <w:szCs w:val="18"/>
                <w:lang w:val="fr-FR"/>
              </w:rPr>
              <w:t>’</w:t>
            </w:r>
            <w:r w:rsidRPr="00EF6F04">
              <w:rPr>
                <w:rStyle w:val="column04"/>
                <w:rFonts w:cstheme="minorHAnsi"/>
                <w:sz w:val="18"/>
                <w:szCs w:val="18"/>
                <w:lang w:val="fr-FR"/>
              </w:rPr>
              <w:t>introduction du recours « Pinto » : 12/09/2008</w:t>
            </w:r>
          </w:p>
          <w:p w:rsidR="00D541E7" w:rsidRPr="00EF6F04" w:rsidRDefault="00D541E7" w:rsidP="00EF6F04">
            <w:pPr>
              <w:jc w:val="left"/>
              <w:rPr>
                <w:rStyle w:val="column04"/>
                <w:rFonts w:cstheme="minorHAnsi"/>
                <w:sz w:val="18"/>
                <w:szCs w:val="18"/>
                <w:lang w:val="fr-FR"/>
              </w:rPr>
            </w:pPr>
          </w:p>
          <w:p w:rsidR="00D541E7" w:rsidRPr="00EF6F04" w:rsidRDefault="00D541E7" w:rsidP="00EF6F04">
            <w:pPr>
              <w:jc w:val="left"/>
              <w:rPr>
                <w:rStyle w:val="column04"/>
                <w:rFonts w:cstheme="minorHAnsi"/>
                <w:sz w:val="18"/>
                <w:szCs w:val="18"/>
                <w:lang w:val="fr-FR"/>
              </w:rPr>
            </w:pPr>
            <w:r w:rsidRPr="00EF6F04">
              <w:rPr>
                <w:rStyle w:val="column04"/>
                <w:rFonts w:cstheme="minorHAnsi"/>
                <w:sz w:val="18"/>
                <w:szCs w:val="18"/>
                <w:lang w:val="fr-FR"/>
              </w:rPr>
              <w:t>Décision de la cour d</w:t>
            </w:r>
            <w:r w:rsidR="00EF6F04" w:rsidRPr="00EF6F04">
              <w:rPr>
                <w:rStyle w:val="column04"/>
                <w:rFonts w:cstheme="minorHAnsi"/>
                <w:sz w:val="18"/>
                <w:szCs w:val="18"/>
                <w:lang w:val="fr-FR"/>
              </w:rPr>
              <w:t>’</w:t>
            </w:r>
            <w:r w:rsidRPr="00EF6F04">
              <w:rPr>
                <w:rStyle w:val="column04"/>
                <w:rFonts w:cstheme="minorHAnsi"/>
                <w:sz w:val="18"/>
                <w:szCs w:val="18"/>
                <w:lang w:val="fr-FR"/>
              </w:rPr>
              <w:t>appel de Naples (RG</w:t>
            </w:r>
            <w:r w:rsidR="00650C2E" w:rsidRPr="00EF6F04">
              <w:rPr>
                <w:rStyle w:val="column04"/>
                <w:rFonts w:cstheme="minorHAnsi"/>
                <w:sz w:val="18"/>
                <w:szCs w:val="18"/>
                <w:lang w:val="fr-FR"/>
              </w:rPr>
              <w:t> </w:t>
            </w:r>
            <w:r w:rsidRPr="00EF6F04">
              <w:rPr>
                <w:rStyle w:val="column04"/>
                <w:rFonts w:cstheme="minorHAnsi"/>
                <w:sz w:val="18"/>
                <w:szCs w:val="18"/>
                <w:lang w:val="fr-FR"/>
              </w:rPr>
              <w:t>n</w:t>
            </w:r>
            <w:r w:rsidRPr="00EF6F04">
              <w:rPr>
                <w:rStyle w:val="column04"/>
                <w:rFonts w:cstheme="minorHAnsi"/>
                <w:sz w:val="18"/>
                <w:szCs w:val="18"/>
                <w:vertAlign w:val="superscript"/>
                <w:lang w:val="fr-FR"/>
              </w:rPr>
              <w:t>o</w:t>
            </w:r>
            <w:r w:rsidR="00650C2E" w:rsidRPr="00EF6F04">
              <w:rPr>
                <w:rStyle w:val="column04"/>
                <w:rFonts w:cstheme="minorHAnsi"/>
                <w:sz w:val="18"/>
                <w:szCs w:val="18"/>
                <w:vertAlign w:val="superscript"/>
                <w:lang w:val="fr-FR"/>
              </w:rPr>
              <w:t> </w:t>
            </w:r>
            <w:r w:rsidRPr="00EF6F04">
              <w:rPr>
                <w:rStyle w:val="column04"/>
                <w:rFonts w:cstheme="minorHAnsi"/>
                <w:sz w:val="18"/>
                <w:szCs w:val="18"/>
                <w:lang w:val="fr-FR"/>
              </w:rPr>
              <w:t>5498/08) : 16/04/2009</w:t>
            </w:r>
          </w:p>
          <w:p w:rsidR="00D541E7" w:rsidRPr="00EF6F04" w:rsidRDefault="00D541E7" w:rsidP="00EF6F04">
            <w:pPr>
              <w:jc w:val="left"/>
              <w:rPr>
                <w:rStyle w:val="column04"/>
                <w:rFonts w:cstheme="minorHAnsi"/>
                <w:sz w:val="18"/>
                <w:szCs w:val="18"/>
                <w:lang w:val="fr-FR"/>
              </w:rPr>
            </w:pPr>
          </w:p>
          <w:p w:rsidR="00D541E7" w:rsidRPr="00EF6F04" w:rsidRDefault="00D541E7" w:rsidP="00EF6F04">
            <w:pPr>
              <w:jc w:val="left"/>
              <w:rPr>
                <w:rStyle w:val="column04"/>
                <w:rFonts w:cstheme="minorHAnsi"/>
                <w:sz w:val="18"/>
                <w:szCs w:val="18"/>
                <w:lang w:val="fr-FR"/>
              </w:rPr>
            </w:pPr>
            <w:r w:rsidRPr="00EF6F04">
              <w:rPr>
                <w:rStyle w:val="column04"/>
                <w:rFonts w:cstheme="minorHAnsi"/>
                <w:sz w:val="18"/>
                <w:szCs w:val="18"/>
                <w:lang w:val="fr-FR"/>
              </w:rPr>
              <w:t>Cour de cassation (arrêt n</w:t>
            </w:r>
            <w:r w:rsidRPr="00EF6F04">
              <w:rPr>
                <w:rStyle w:val="column04"/>
                <w:rFonts w:cstheme="minorHAnsi"/>
                <w:sz w:val="18"/>
                <w:szCs w:val="18"/>
                <w:vertAlign w:val="superscript"/>
                <w:lang w:val="fr-FR"/>
              </w:rPr>
              <w:t>o</w:t>
            </w:r>
            <w:r w:rsidRPr="00EF6F04">
              <w:rPr>
                <w:rStyle w:val="column04"/>
                <w:rFonts w:cstheme="minorHAnsi"/>
                <w:sz w:val="18"/>
                <w:szCs w:val="18"/>
                <w:lang w:val="fr-FR"/>
              </w:rPr>
              <w:t xml:space="preserve"> 22926/11) : 4/11/2011</w:t>
            </w:r>
          </w:p>
        </w:tc>
        <w:tc>
          <w:tcPr>
            <w:tcW w:w="2015" w:type="dxa"/>
            <w:vAlign w:val="center"/>
          </w:tcPr>
          <w:p w:rsidR="00D541E7" w:rsidRPr="00EF6F04" w:rsidRDefault="0056479F" w:rsidP="00EF6F04">
            <w:pPr>
              <w:jc w:val="center"/>
              <w:rPr>
                <w:rStyle w:val="column04"/>
                <w:rFonts w:cstheme="minorHAnsi"/>
                <w:sz w:val="18"/>
                <w:szCs w:val="18"/>
                <w:lang w:val="fr-FR"/>
              </w:rPr>
            </w:pPr>
            <w:r w:rsidRPr="00EF6F04">
              <w:rPr>
                <w:rFonts w:cstheme="minorHAnsi"/>
                <w:b/>
                <w:sz w:val="18"/>
                <w:szCs w:val="18"/>
                <w:lang w:val="fr-FR"/>
              </w:rPr>
              <w:t>27 375</w:t>
            </w:r>
            <w:r w:rsidRPr="00EF6F04">
              <w:rPr>
                <w:rFonts w:cstheme="minorHAnsi"/>
                <w:sz w:val="18"/>
                <w:szCs w:val="18"/>
                <w:lang w:val="fr-FR"/>
              </w:rPr>
              <w:t xml:space="preserve"> euros (EUR) au titre du préjudice moral</w:t>
            </w:r>
          </w:p>
        </w:tc>
      </w:tr>
      <w:tr w:rsidR="00D541E7" w:rsidRPr="00EF6F04" w:rsidTr="00221CFD">
        <w:trPr>
          <w:trHeight w:val="2400"/>
          <w:jc w:val="center"/>
        </w:trPr>
        <w:tc>
          <w:tcPr>
            <w:tcW w:w="340" w:type="dxa"/>
            <w:shd w:val="clear" w:color="auto" w:fill="auto"/>
            <w:vAlign w:val="center"/>
          </w:tcPr>
          <w:p w:rsidR="00D541E7" w:rsidRPr="00EF6F04" w:rsidRDefault="00D541E7" w:rsidP="00EF6F04">
            <w:pPr>
              <w:numPr>
                <w:ilvl w:val="0"/>
                <w:numId w:val="15"/>
              </w:numPr>
              <w:suppressAutoHyphens/>
              <w:ind w:left="357" w:hanging="357"/>
              <w:jc w:val="center"/>
              <w:rPr>
                <w:rFonts w:cstheme="minorHAnsi"/>
                <w:b/>
                <w:sz w:val="18"/>
                <w:szCs w:val="18"/>
                <w:lang w:val="fr-FR"/>
              </w:rPr>
            </w:pPr>
          </w:p>
        </w:tc>
        <w:tc>
          <w:tcPr>
            <w:tcW w:w="1417" w:type="dxa"/>
            <w:shd w:val="clear" w:color="auto" w:fill="auto"/>
            <w:vAlign w:val="center"/>
          </w:tcPr>
          <w:p w:rsidR="0056479F" w:rsidRPr="00EF6F04" w:rsidRDefault="00D541E7" w:rsidP="00EF6F04">
            <w:pPr>
              <w:suppressAutoHyphens/>
              <w:jc w:val="center"/>
              <w:rPr>
                <w:rStyle w:val="column01"/>
                <w:rFonts w:cstheme="minorHAnsi"/>
                <w:b/>
                <w:sz w:val="18"/>
                <w:szCs w:val="18"/>
                <w:lang w:val="fr-FR"/>
              </w:rPr>
            </w:pPr>
            <w:r w:rsidRPr="00EF6F04">
              <w:rPr>
                <w:rStyle w:val="column01"/>
                <w:rFonts w:cstheme="minorHAnsi"/>
                <w:b/>
                <w:sz w:val="18"/>
                <w:szCs w:val="18"/>
                <w:lang w:val="fr-FR"/>
              </w:rPr>
              <w:t>17717/12</w:t>
            </w:r>
          </w:p>
          <w:p w:rsidR="0056479F" w:rsidRPr="00EF6F04" w:rsidRDefault="0056479F" w:rsidP="00EF6F04">
            <w:pPr>
              <w:suppressAutoHyphens/>
              <w:jc w:val="center"/>
              <w:rPr>
                <w:rStyle w:val="column01"/>
                <w:rFonts w:cstheme="minorHAnsi"/>
                <w:sz w:val="18"/>
                <w:szCs w:val="18"/>
                <w:lang w:val="fr-FR"/>
              </w:rPr>
            </w:pPr>
          </w:p>
          <w:p w:rsidR="00D541E7" w:rsidRPr="00EF6F04" w:rsidRDefault="00D541E7" w:rsidP="00EF6F04">
            <w:pPr>
              <w:suppressAutoHyphens/>
              <w:jc w:val="center"/>
              <w:rPr>
                <w:rStyle w:val="column01"/>
                <w:rFonts w:cstheme="minorHAnsi"/>
                <w:sz w:val="18"/>
                <w:szCs w:val="18"/>
                <w:lang w:val="fr-FR"/>
              </w:rPr>
            </w:pPr>
            <w:r w:rsidRPr="00EF6F04">
              <w:rPr>
                <w:rStyle w:val="column01"/>
                <w:rFonts w:cstheme="minorHAnsi"/>
                <w:sz w:val="18"/>
                <w:szCs w:val="18"/>
                <w:lang w:val="fr-FR"/>
              </w:rPr>
              <w:t>02/03/2012</w:t>
            </w:r>
          </w:p>
        </w:tc>
        <w:tc>
          <w:tcPr>
            <w:tcW w:w="2294" w:type="dxa"/>
            <w:shd w:val="clear" w:color="auto" w:fill="auto"/>
            <w:vAlign w:val="center"/>
          </w:tcPr>
          <w:p w:rsidR="00D541E7" w:rsidRPr="00EF6F04" w:rsidRDefault="00D541E7" w:rsidP="00EF6F04">
            <w:pPr>
              <w:suppressAutoHyphens/>
              <w:jc w:val="center"/>
              <w:rPr>
                <w:rStyle w:val="column02"/>
                <w:rFonts w:cstheme="minorHAnsi"/>
                <w:b/>
                <w:sz w:val="18"/>
                <w:szCs w:val="18"/>
                <w:lang w:val="fr-FR"/>
              </w:rPr>
            </w:pPr>
            <w:r w:rsidRPr="00EF6F04">
              <w:rPr>
                <w:rStyle w:val="column02"/>
                <w:rFonts w:cstheme="minorHAnsi"/>
                <w:b/>
                <w:sz w:val="18"/>
                <w:szCs w:val="18"/>
                <w:lang w:val="fr-FR"/>
              </w:rPr>
              <w:t>Maria VARRICCHIO</w:t>
            </w:r>
          </w:p>
          <w:p w:rsidR="00D541E7" w:rsidRPr="00EF6F04" w:rsidRDefault="00D541E7" w:rsidP="00EF6F04">
            <w:pPr>
              <w:suppressAutoHyphens/>
              <w:jc w:val="center"/>
              <w:rPr>
                <w:rStyle w:val="column02"/>
                <w:rFonts w:cstheme="minorHAnsi"/>
                <w:sz w:val="18"/>
                <w:szCs w:val="18"/>
                <w:lang w:val="fr-FR"/>
              </w:rPr>
            </w:pPr>
            <w:r w:rsidRPr="00EF6F04">
              <w:rPr>
                <w:rStyle w:val="column02"/>
                <w:rFonts w:cstheme="minorHAnsi"/>
                <w:sz w:val="18"/>
                <w:szCs w:val="18"/>
                <w:lang w:val="fr-FR"/>
              </w:rPr>
              <w:t>20/09/1941</w:t>
            </w:r>
          </w:p>
          <w:p w:rsidR="00D541E7" w:rsidRPr="00EF6F04" w:rsidRDefault="00D541E7" w:rsidP="00EF6F04">
            <w:pPr>
              <w:suppressAutoHyphens/>
              <w:jc w:val="center"/>
              <w:rPr>
                <w:rStyle w:val="column02"/>
                <w:rFonts w:cstheme="minorHAnsi"/>
                <w:sz w:val="18"/>
                <w:szCs w:val="18"/>
                <w:lang w:val="fr-FR"/>
              </w:rPr>
            </w:pPr>
            <w:r w:rsidRPr="00EF6F04">
              <w:rPr>
                <w:rStyle w:val="column02"/>
                <w:rFonts w:cstheme="minorHAnsi"/>
                <w:sz w:val="18"/>
                <w:szCs w:val="18"/>
                <w:lang w:val="fr-FR"/>
              </w:rPr>
              <w:t>Bénévent</w:t>
            </w:r>
          </w:p>
          <w:p w:rsidR="00D541E7" w:rsidRPr="00EF6F04" w:rsidRDefault="00D541E7" w:rsidP="00EF6F04">
            <w:pPr>
              <w:suppressAutoHyphens/>
              <w:jc w:val="center"/>
              <w:rPr>
                <w:rStyle w:val="column02"/>
                <w:rFonts w:cstheme="minorHAnsi"/>
                <w:sz w:val="18"/>
                <w:szCs w:val="18"/>
                <w:lang w:val="fr-FR"/>
              </w:rPr>
            </w:pPr>
          </w:p>
        </w:tc>
        <w:tc>
          <w:tcPr>
            <w:tcW w:w="4227" w:type="dxa"/>
            <w:shd w:val="clear" w:color="auto" w:fill="auto"/>
            <w:vAlign w:val="center"/>
          </w:tcPr>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Recours introduit le 23 août 1990</w:t>
            </w: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(RG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 xml:space="preserve"> 5432/90)</w:t>
            </w:r>
          </w:p>
          <w:p w:rsidR="00D541E7" w:rsidRPr="00EF6F04" w:rsidRDefault="00D541E7" w:rsidP="00EF6F04">
            <w:pPr>
              <w:jc w:val="left"/>
              <w:rPr>
                <w:rStyle w:val="column03"/>
                <w:rFonts w:cstheme="minorHAnsi"/>
                <w:sz w:val="18"/>
                <w:szCs w:val="18"/>
                <w:lang w:val="fr-FR"/>
              </w:rPr>
            </w:pPr>
          </w:p>
          <w:p w:rsidR="00975966" w:rsidRPr="00EF6F04" w:rsidRDefault="00975966"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28/08/1990</w:t>
            </w:r>
          </w:p>
          <w:p w:rsidR="00975966" w:rsidRPr="00EF6F04" w:rsidRDefault="00975966" w:rsidP="00EF6F04">
            <w:pPr>
              <w:jc w:val="left"/>
              <w:rPr>
                <w:rStyle w:val="column03"/>
                <w:rFonts w:cstheme="minorHAnsi"/>
                <w:sz w:val="18"/>
                <w:szCs w:val="18"/>
                <w:lang w:val="fr-FR"/>
              </w:rPr>
            </w:pPr>
          </w:p>
          <w:p w:rsidR="000420C4" w:rsidRPr="00EF6F04" w:rsidRDefault="000420C4" w:rsidP="00EF6F04">
            <w:pPr>
              <w:jc w:val="left"/>
              <w:rPr>
                <w:rStyle w:val="column03"/>
                <w:rFonts w:cstheme="minorHAnsi"/>
                <w:sz w:val="18"/>
                <w:szCs w:val="18"/>
                <w:lang w:val="fr-FR"/>
              </w:rPr>
            </w:pPr>
            <w:r w:rsidRPr="00EF6F04">
              <w:rPr>
                <w:rStyle w:val="column03"/>
                <w:rFonts w:cstheme="minorHAnsi"/>
                <w:sz w:val="18"/>
                <w:szCs w:val="18"/>
                <w:lang w:val="fr-FR"/>
              </w:rPr>
              <w:t>Acte d</w:t>
            </w:r>
            <w:r w:rsidR="00EF6F04" w:rsidRPr="00EF6F04">
              <w:rPr>
                <w:rStyle w:val="column03"/>
                <w:rFonts w:cstheme="minorHAnsi"/>
                <w:sz w:val="18"/>
                <w:szCs w:val="18"/>
                <w:lang w:val="fr-FR"/>
              </w:rPr>
              <w:t>’</w:t>
            </w:r>
            <w:r w:rsidRPr="00EF6F04">
              <w:rPr>
                <w:rStyle w:val="column03"/>
                <w:rFonts w:cstheme="minorHAnsi"/>
                <w:sz w:val="18"/>
                <w:szCs w:val="18"/>
                <w:lang w:val="fr-FR"/>
              </w:rPr>
              <w:t>intervention dans la procédure</w:t>
            </w:r>
            <w:r w:rsidR="0061642D" w:rsidRPr="00EF6F04">
              <w:rPr>
                <w:rStyle w:val="column03"/>
                <w:rFonts w:cstheme="minorHAnsi"/>
                <w:sz w:val="18"/>
                <w:szCs w:val="18"/>
                <w:lang w:val="fr-FR"/>
              </w:rPr>
              <w:t xml:space="preserve"> en qualité d</w:t>
            </w:r>
            <w:r w:rsidR="00EF6F04" w:rsidRPr="00EF6F04">
              <w:rPr>
                <w:rStyle w:val="column03"/>
                <w:rFonts w:cstheme="minorHAnsi"/>
                <w:sz w:val="18"/>
                <w:szCs w:val="18"/>
                <w:lang w:val="fr-FR"/>
              </w:rPr>
              <w:t>’</w:t>
            </w:r>
            <w:r w:rsidR="0061642D" w:rsidRPr="00EF6F04">
              <w:rPr>
                <w:rStyle w:val="column03"/>
                <w:rFonts w:cstheme="minorHAnsi"/>
                <w:sz w:val="18"/>
                <w:szCs w:val="18"/>
                <w:lang w:val="fr-FR"/>
              </w:rPr>
              <w:t>héritière</w:t>
            </w:r>
            <w:r w:rsidRPr="00EF6F04">
              <w:rPr>
                <w:rStyle w:val="column03"/>
                <w:rFonts w:cstheme="minorHAnsi"/>
                <w:sz w:val="18"/>
                <w:szCs w:val="18"/>
                <w:lang w:val="fr-FR"/>
              </w:rPr>
              <w:t> : 12/09/2008</w:t>
            </w:r>
          </w:p>
          <w:p w:rsidR="00975966" w:rsidRPr="00EF6F04" w:rsidRDefault="00975966" w:rsidP="00EF6F04">
            <w:pPr>
              <w:jc w:val="left"/>
              <w:rPr>
                <w:rStyle w:val="column03"/>
                <w:rFonts w:cstheme="minorHAnsi"/>
                <w:sz w:val="18"/>
                <w:szCs w:val="18"/>
                <w:lang w:val="fr-FR"/>
              </w:rPr>
            </w:pP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12/09/2008</w:t>
            </w:r>
          </w:p>
          <w:p w:rsidR="00975966" w:rsidRPr="00EF6F04" w:rsidRDefault="00975966" w:rsidP="00EF6F04">
            <w:pPr>
              <w:jc w:val="left"/>
              <w:rPr>
                <w:rStyle w:val="column03"/>
                <w:rFonts w:cstheme="minorHAnsi"/>
                <w:sz w:val="18"/>
                <w:szCs w:val="18"/>
                <w:lang w:val="fr-FR"/>
              </w:rPr>
            </w:pP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Date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5/03/2009</w:t>
            </w:r>
          </w:p>
          <w:p w:rsidR="00D541E7" w:rsidRPr="00EF6F04" w:rsidRDefault="00D541E7" w:rsidP="00EF6F04">
            <w:pPr>
              <w:jc w:val="left"/>
              <w:rPr>
                <w:rStyle w:val="column03"/>
                <w:rFonts w:cstheme="minorHAnsi"/>
                <w:sz w:val="18"/>
                <w:szCs w:val="18"/>
                <w:lang w:val="fr-FR"/>
              </w:rPr>
            </w:pPr>
          </w:p>
          <w:p w:rsidR="00D541E7"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Arrêt du 13/03/2009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 xml:space="preserve"> 1433/2009)</w:t>
            </w:r>
          </w:p>
          <w:p w:rsidR="00D541E7" w:rsidRPr="00EF6F04" w:rsidRDefault="00D541E7" w:rsidP="00EF6F04">
            <w:pPr>
              <w:jc w:val="left"/>
              <w:rPr>
                <w:rStyle w:val="column03"/>
                <w:rFonts w:cstheme="minorHAnsi"/>
                <w:sz w:val="18"/>
                <w:szCs w:val="18"/>
                <w:lang w:val="fr-FR"/>
              </w:rPr>
            </w:pPr>
          </w:p>
          <w:p w:rsidR="00975966" w:rsidRPr="00EF6F04" w:rsidRDefault="00D541E7" w:rsidP="00EF6F04">
            <w:pPr>
              <w:jc w:val="left"/>
              <w:rPr>
                <w:rStyle w:val="column03"/>
                <w:rFonts w:cstheme="minorHAnsi"/>
                <w:sz w:val="18"/>
                <w:szCs w:val="18"/>
                <w:lang w:val="fr-FR"/>
              </w:rPr>
            </w:pPr>
            <w:r w:rsidRPr="00EF6F04">
              <w:rPr>
                <w:rStyle w:val="column03"/>
                <w:rFonts w:cstheme="minorHAnsi"/>
                <w:sz w:val="18"/>
                <w:szCs w:val="18"/>
                <w:lang w:val="fr-FR"/>
              </w:rPr>
              <w:t>Durée : 18 ans et 6 mois</w:t>
            </w:r>
          </w:p>
        </w:tc>
        <w:tc>
          <w:tcPr>
            <w:tcW w:w="3260" w:type="dxa"/>
            <w:shd w:val="clear" w:color="auto" w:fill="auto"/>
            <w:vAlign w:val="center"/>
          </w:tcPr>
          <w:p w:rsidR="00D541E7" w:rsidRPr="00EF6F04" w:rsidRDefault="00D541E7" w:rsidP="00EF6F04">
            <w:pPr>
              <w:jc w:val="left"/>
              <w:rPr>
                <w:rStyle w:val="column04"/>
                <w:rFonts w:cstheme="minorHAnsi"/>
                <w:sz w:val="18"/>
                <w:szCs w:val="18"/>
                <w:lang w:val="fr-FR"/>
              </w:rPr>
            </w:pPr>
            <w:r w:rsidRPr="00EF6F04">
              <w:rPr>
                <w:rStyle w:val="column04"/>
                <w:rFonts w:cstheme="minorHAnsi"/>
                <w:sz w:val="18"/>
                <w:szCs w:val="18"/>
                <w:lang w:val="fr-FR"/>
              </w:rPr>
              <w:t>Date d</w:t>
            </w:r>
            <w:r w:rsidR="00EF6F04" w:rsidRPr="00EF6F04">
              <w:rPr>
                <w:rStyle w:val="column04"/>
                <w:rFonts w:cstheme="minorHAnsi"/>
                <w:sz w:val="18"/>
                <w:szCs w:val="18"/>
                <w:lang w:val="fr-FR"/>
              </w:rPr>
              <w:t>’</w:t>
            </w:r>
            <w:r w:rsidRPr="00EF6F04">
              <w:rPr>
                <w:rStyle w:val="column04"/>
                <w:rFonts w:cstheme="minorHAnsi"/>
                <w:sz w:val="18"/>
                <w:szCs w:val="18"/>
                <w:lang w:val="fr-FR"/>
              </w:rPr>
              <w:t>introduction du recours « Pinto » : 12/09/2008</w:t>
            </w:r>
          </w:p>
          <w:p w:rsidR="00D541E7" w:rsidRPr="00EF6F04" w:rsidRDefault="00D541E7" w:rsidP="00EF6F04">
            <w:pPr>
              <w:jc w:val="left"/>
              <w:rPr>
                <w:rStyle w:val="column04"/>
                <w:rFonts w:cstheme="minorHAnsi"/>
                <w:sz w:val="18"/>
                <w:szCs w:val="18"/>
                <w:lang w:val="fr-FR"/>
              </w:rPr>
            </w:pPr>
          </w:p>
          <w:p w:rsidR="00D541E7" w:rsidRPr="00EF6F04" w:rsidRDefault="00D541E7" w:rsidP="00EF6F04">
            <w:pPr>
              <w:jc w:val="left"/>
              <w:rPr>
                <w:rStyle w:val="column04"/>
                <w:rFonts w:cstheme="minorHAnsi"/>
                <w:sz w:val="18"/>
                <w:szCs w:val="18"/>
                <w:lang w:val="fr-FR"/>
              </w:rPr>
            </w:pPr>
            <w:r w:rsidRPr="00EF6F04">
              <w:rPr>
                <w:rStyle w:val="column04"/>
                <w:rFonts w:cstheme="minorHAnsi"/>
                <w:sz w:val="18"/>
                <w:szCs w:val="18"/>
                <w:lang w:val="fr-FR"/>
              </w:rPr>
              <w:t>Décision de la cour d</w:t>
            </w:r>
            <w:r w:rsidR="00EF6F04" w:rsidRPr="00EF6F04">
              <w:rPr>
                <w:rStyle w:val="column04"/>
                <w:rFonts w:cstheme="minorHAnsi"/>
                <w:sz w:val="18"/>
                <w:szCs w:val="18"/>
                <w:lang w:val="fr-FR"/>
              </w:rPr>
              <w:t>’</w:t>
            </w:r>
            <w:r w:rsidRPr="00EF6F04">
              <w:rPr>
                <w:rStyle w:val="column04"/>
                <w:rFonts w:cstheme="minorHAnsi"/>
                <w:sz w:val="18"/>
                <w:szCs w:val="18"/>
                <w:lang w:val="fr-FR"/>
              </w:rPr>
              <w:t>appel de Naples</w:t>
            </w:r>
          </w:p>
          <w:p w:rsidR="00D541E7" w:rsidRPr="00EF6F04" w:rsidRDefault="00D541E7" w:rsidP="00EF6F04">
            <w:pPr>
              <w:jc w:val="left"/>
              <w:rPr>
                <w:rStyle w:val="column04"/>
                <w:rFonts w:cstheme="minorHAnsi"/>
                <w:sz w:val="18"/>
                <w:szCs w:val="18"/>
                <w:lang w:val="fr-FR"/>
              </w:rPr>
            </w:pPr>
            <w:r w:rsidRPr="00EF6F04">
              <w:rPr>
                <w:rStyle w:val="column04"/>
                <w:rFonts w:cstheme="minorHAnsi"/>
                <w:sz w:val="18"/>
                <w:szCs w:val="18"/>
                <w:lang w:val="fr-FR"/>
              </w:rPr>
              <w:t>(RG n</w:t>
            </w:r>
            <w:r w:rsidRPr="00EF6F04">
              <w:rPr>
                <w:rStyle w:val="column04"/>
                <w:rFonts w:cstheme="minorHAnsi"/>
                <w:sz w:val="18"/>
                <w:szCs w:val="18"/>
                <w:vertAlign w:val="superscript"/>
                <w:lang w:val="fr-FR"/>
              </w:rPr>
              <w:t>o</w:t>
            </w:r>
            <w:r w:rsidRPr="00EF6F04">
              <w:rPr>
                <w:rStyle w:val="column04"/>
                <w:rFonts w:cstheme="minorHAnsi"/>
                <w:sz w:val="18"/>
                <w:szCs w:val="18"/>
                <w:lang w:val="fr-FR"/>
              </w:rPr>
              <w:t xml:space="preserve"> 5502/08) : 24/02/2009</w:t>
            </w:r>
          </w:p>
          <w:p w:rsidR="00D541E7" w:rsidRPr="00EF6F04" w:rsidRDefault="00D541E7" w:rsidP="00EF6F04">
            <w:pPr>
              <w:jc w:val="left"/>
              <w:rPr>
                <w:rStyle w:val="column04"/>
                <w:rFonts w:cstheme="minorHAnsi"/>
                <w:sz w:val="18"/>
                <w:szCs w:val="18"/>
                <w:lang w:val="fr-FR"/>
              </w:rPr>
            </w:pPr>
          </w:p>
          <w:p w:rsidR="00D541E7" w:rsidRPr="00EF6F04" w:rsidRDefault="00D541E7" w:rsidP="00EF6F04">
            <w:pPr>
              <w:jc w:val="left"/>
              <w:rPr>
                <w:rStyle w:val="column04"/>
                <w:rFonts w:cstheme="minorHAnsi"/>
                <w:sz w:val="18"/>
                <w:szCs w:val="18"/>
                <w:lang w:val="fr-FR"/>
              </w:rPr>
            </w:pPr>
            <w:r w:rsidRPr="00EF6F04">
              <w:rPr>
                <w:rStyle w:val="column04"/>
                <w:rFonts w:cstheme="minorHAnsi"/>
                <w:sz w:val="18"/>
                <w:szCs w:val="18"/>
                <w:lang w:val="fr-FR"/>
              </w:rPr>
              <w:t>Cour de cassation (arrêt n</w:t>
            </w:r>
            <w:r w:rsidRPr="00EF6F04">
              <w:rPr>
                <w:rStyle w:val="column04"/>
                <w:rFonts w:cstheme="minorHAnsi"/>
                <w:sz w:val="18"/>
                <w:szCs w:val="18"/>
                <w:vertAlign w:val="superscript"/>
                <w:lang w:val="fr-FR"/>
              </w:rPr>
              <w:t>o</w:t>
            </w:r>
            <w:r w:rsidRPr="00EF6F04">
              <w:rPr>
                <w:rStyle w:val="column04"/>
                <w:rFonts w:cstheme="minorHAnsi"/>
                <w:sz w:val="18"/>
                <w:szCs w:val="18"/>
                <w:lang w:val="fr-FR"/>
              </w:rPr>
              <w:t xml:space="preserve"> 22924/11) : 4/11/2011</w:t>
            </w:r>
          </w:p>
        </w:tc>
        <w:tc>
          <w:tcPr>
            <w:tcW w:w="2015" w:type="dxa"/>
            <w:vAlign w:val="center"/>
          </w:tcPr>
          <w:p w:rsidR="00D541E7" w:rsidRPr="00EF6F04" w:rsidRDefault="0056479F" w:rsidP="00EF6F04">
            <w:pPr>
              <w:jc w:val="center"/>
              <w:rPr>
                <w:rStyle w:val="column04"/>
                <w:rFonts w:cstheme="minorHAnsi"/>
                <w:sz w:val="18"/>
                <w:szCs w:val="18"/>
                <w:lang w:val="fr-FR"/>
              </w:rPr>
            </w:pPr>
            <w:r w:rsidRPr="00EF6F04">
              <w:rPr>
                <w:rStyle w:val="column04"/>
                <w:rFonts w:cstheme="minorHAnsi"/>
                <w:b/>
                <w:sz w:val="18"/>
                <w:szCs w:val="18"/>
                <w:lang w:val="fr-FR"/>
              </w:rPr>
              <w:t xml:space="preserve">27 750 </w:t>
            </w:r>
            <w:r w:rsidRPr="00EF6F04">
              <w:rPr>
                <w:rStyle w:val="column04"/>
                <w:rFonts w:cstheme="minorHAnsi"/>
                <w:sz w:val="18"/>
                <w:szCs w:val="18"/>
                <w:lang w:val="fr-FR"/>
              </w:rPr>
              <w:t>euros (EUR) au titre du préjudice moral</w:t>
            </w:r>
          </w:p>
        </w:tc>
      </w:tr>
      <w:tr w:rsidR="0056479F" w:rsidRPr="00EF6F04" w:rsidTr="00C0074C">
        <w:trPr>
          <w:cantSplit/>
          <w:trHeight w:val="3968"/>
          <w:jc w:val="center"/>
        </w:trPr>
        <w:tc>
          <w:tcPr>
            <w:tcW w:w="340" w:type="dxa"/>
            <w:shd w:val="clear" w:color="auto" w:fill="auto"/>
            <w:vAlign w:val="center"/>
          </w:tcPr>
          <w:p w:rsidR="0056479F" w:rsidRPr="00EF6F04" w:rsidRDefault="0056479F" w:rsidP="00EF6F04">
            <w:pPr>
              <w:numPr>
                <w:ilvl w:val="0"/>
                <w:numId w:val="15"/>
              </w:numPr>
              <w:suppressAutoHyphens/>
              <w:ind w:left="357" w:hanging="357"/>
              <w:jc w:val="center"/>
              <w:rPr>
                <w:rFonts w:cstheme="minorHAnsi"/>
                <w:b/>
                <w:sz w:val="18"/>
                <w:szCs w:val="18"/>
                <w:lang w:val="fr-FR"/>
              </w:rPr>
            </w:pPr>
          </w:p>
        </w:tc>
        <w:tc>
          <w:tcPr>
            <w:tcW w:w="1417" w:type="dxa"/>
            <w:shd w:val="clear" w:color="auto" w:fill="auto"/>
            <w:vAlign w:val="center"/>
          </w:tcPr>
          <w:p w:rsidR="0056479F" w:rsidRPr="00EF6F04" w:rsidRDefault="0056479F" w:rsidP="00EF6F04">
            <w:pPr>
              <w:suppressAutoHyphens/>
              <w:jc w:val="center"/>
              <w:rPr>
                <w:rStyle w:val="column01"/>
                <w:rFonts w:cstheme="minorHAnsi"/>
                <w:b/>
                <w:sz w:val="18"/>
                <w:szCs w:val="18"/>
                <w:lang w:val="fr-FR"/>
              </w:rPr>
            </w:pPr>
            <w:r w:rsidRPr="00EF6F04">
              <w:rPr>
                <w:rStyle w:val="column01"/>
                <w:rFonts w:cstheme="minorHAnsi"/>
                <w:b/>
                <w:sz w:val="18"/>
                <w:szCs w:val="18"/>
                <w:lang w:val="fr-FR"/>
              </w:rPr>
              <w:t>17729/12</w:t>
            </w:r>
          </w:p>
          <w:p w:rsidR="0056479F" w:rsidRPr="00EF6F04" w:rsidRDefault="0056479F" w:rsidP="00EF6F04">
            <w:pPr>
              <w:suppressAutoHyphens/>
              <w:jc w:val="center"/>
              <w:rPr>
                <w:rStyle w:val="column01"/>
                <w:rFonts w:cstheme="minorHAnsi"/>
                <w:sz w:val="18"/>
                <w:szCs w:val="18"/>
                <w:lang w:val="fr-FR"/>
              </w:rPr>
            </w:pPr>
          </w:p>
          <w:p w:rsidR="0056479F" w:rsidRPr="00EF6F04" w:rsidRDefault="0056479F" w:rsidP="00EF6F04">
            <w:pPr>
              <w:suppressAutoHyphens/>
              <w:jc w:val="center"/>
              <w:rPr>
                <w:rStyle w:val="column01"/>
                <w:rFonts w:cstheme="minorHAnsi"/>
                <w:sz w:val="18"/>
                <w:szCs w:val="18"/>
                <w:lang w:val="fr-FR"/>
              </w:rPr>
            </w:pPr>
            <w:r w:rsidRPr="00EF6F04">
              <w:rPr>
                <w:rStyle w:val="column01"/>
                <w:rFonts w:cstheme="minorHAnsi"/>
                <w:sz w:val="18"/>
                <w:szCs w:val="18"/>
                <w:lang w:val="fr-FR"/>
              </w:rPr>
              <w:t>02/03/2012</w:t>
            </w:r>
          </w:p>
        </w:tc>
        <w:tc>
          <w:tcPr>
            <w:tcW w:w="2294" w:type="dxa"/>
            <w:shd w:val="clear" w:color="auto" w:fill="auto"/>
            <w:vAlign w:val="center"/>
          </w:tcPr>
          <w:p w:rsidR="0056479F" w:rsidRPr="00EF6F04" w:rsidRDefault="0056479F" w:rsidP="00EF6F04">
            <w:pPr>
              <w:suppressAutoHyphens/>
              <w:jc w:val="center"/>
              <w:rPr>
                <w:rFonts w:cstheme="minorHAnsi"/>
                <w:b/>
                <w:sz w:val="18"/>
                <w:szCs w:val="18"/>
                <w:lang w:val="it-IT"/>
              </w:rPr>
            </w:pPr>
            <w:r w:rsidRPr="00EF6F04">
              <w:rPr>
                <w:rFonts w:cstheme="minorHAnsi"/>
                <w:b/>
                <w:sz w:val="18"/>
                <w:szCs w:val="18"/>
                <w:lang w:val="it-IT"/>
              </w:rPr>
              <w:t>Giuseppina</w:t>
            </w:r>
            <w:r w:rsidR="00E6681E" w:rsidRPr="00EF6F04">
              <w:rPr>
                <w:rFonts w:cstheme="minorHAnsi"/>
                <w:b/>
                <w:sz w:val="18"/>
                <w:szCs w:val="18"/>
                <w:lang w:val="it-IT"/>
              </w:rPr>
              <w:t xml:space="preserve"> </w:t>
            </w:r>
            <w:r w:rsidRPr="00EF6F04">
              <w:rPr>
                <w:rFonts w:cstheme="minorHAnsi"/>
                <w:b/>
                <w:sz w:val="18"/>
                <w:szCs w:val="18"/>
                <w:lang w:val="it-IT"/>
              </w:rPr>
              <w:t>BERNARDI</w:t>
            </w:r>
          </w:p>
          <w:p w:rsidR="0056479F" w:rsidRPr="00EF6F04" w:rsidRDefault="0056479F" w:rsidP="00EF6F04">
            <w:pPr>
              <w:suppressAutoHyphens/>
              <w:jc w:val="center"/>
              <w:rPr>
                <w:rFonts w:cstheme="minorHAnsi"/>
                <w:sz w:val="18"/>
                <w:szCs w:val="18"/>
                <w:lang w:val="it-IT"/>
              </w:rPr>
            </w:pPr>
            <w:r w:rsidRPr="00EF6F04">
              <w:rPr>
                <w:rFonts w:cstheme="minorHAnsi"/>
                <w:sz w:val="18"/>
                <w:szCs w:val="18"/>
                <w:lang w:val="it-IT"/>
              </w:rPr>
              <w:t>29/12/193</w:t>
            </w:r>
            <w:r w:rsidR="00650C2E" w:rsidRPr="00EF6F04">
              <w:rPr>
                <w:rFonts w:cstheme="minorHAnsi"/>
                <w:sz w:val="18"/>
                <w:szCs w:val="18"/>
                <w:lang w:val="it-IT"/>
              </w:rPr>
              <w:t>5</w:t>
            </w:r>
          </w:p>
          <w:p w:rsidR="0056479F" w:rsidRPr="00EF6F04" w:rsidRDefault="0056479F" w:rsidP="00EF6F04">
            <w:pPr>
              <w:suppressAutoHyphens/>
              <w:jc w:val="center"/>
              <w:rPr>
                <w:rFonts w:cstheme="minorHAnsi"/>
                <w:sz w:val="18"/>
                <w:szCs w:val="18"/>
                <w:lang w:val="it-IT"/>
              </w:rPr>
            </w:pPr>
            <w:r w:rsidRPr="00EF6F04">
              <w:rPr>
                <w:rFonts w:cstheme="minorHAnsi"/>
                <w:sz w:val="18"/>
                <w:szCs w:val="18"/>
                <w:lang w:val="it-IT"/>
              </w:rPr>
              <w:t>Bénévent</w:t>
            </w:r>
          </w:p>
          <w:p w:rsidR="0056479F" w:rsidRPr="00EF6F04" w:rsidRDefault="0056479F" w:rsidP="00EF6F04">
            <w:pPr>
              <w:suppressAutoHyphens/>
              <w:jc w:val="center"/>
              <w:rPr>
                <w:rFonts w:cstheme="minorHAnsi"/>
                <w:sz w:val="14"/>
                <w:szCs w:val="14"/>
                <w:lang w:val="it-IT"/>
              </w:rPr>
            </w:pPr>
          </w:p>
          <w:p w:rsidR="0056479F" w:rsidRPr="00EF6F04" w:rsidRDefault="0056479F" w:rsidP="00EF6F04">
            <w:pPr>
              <w:suppressAutoHyphens/>
              <w:jc w:val="center"/>
              <w:rPr>
                <w:rFonts w:cstheme="minorHAnsi"/>
                <w:b/>
                <w:sz w:val="18"/>
                <w:szCs w:val="18"/>
                <w:lang w:val="it-IT"/>
              </w:rPr>
            </w:pPr>
            <w:r w:rsidRPr="00EF6F04">
              <w:rPr>
                <w:rFonts w:cstheme="minorHAnsi"/>
                <w:b/>
                <w:sz w:val="18"/>
                <w:szCs w:val="18"/>
                <w:lang w:val="it-IT"/>
              </w:rPr>
              <w:t>Umberto RUSSO</w:t>
            </w:r>
          </w:p>
          <w:p w:rsidR="0056479F" w:rsidRPr="00EF6F04" w:rsidRDefault="0056479F" w:rsidP="00EF6F04">
            <w:pPr>
              <w:suppressAutoHyphens/>
              <w:jc w:val="center"/>
              <w:rPr>
                <w:rFonts w:cstheme="minorHAnsi"/>
                <w:sz w:val="18"/>
                <w:szCs w:val="18"/>
                <w:lang w:val="it-IT"/>
              </w:rPr>
            </w:pPr>
            <w:r w:rsidRPr="00EF6F04">
              <w:rPr>
                <w:rFonts w:cstheme="minorHAnsi"/>
                <w:sz w:val="18"/>
                <w:szCs w:val="18"/>
                <w:lang w:val="it-IT"/>
              </w:rPr>
              <w:t>28/04/1965</w:t>
            </w:r>
          </w:p>
          <w:p w:rsidR="0056479F" w:rsidRPr="00EF6F04" w:rsidRDefault="0056479F" w:rsidP="00EF6F04">
            <w:pPr>
              <w:suppressAutoHyphens/>
              <w:jc w:val="center"/>
              <w:rPr>
                <w:rFonts w:cstheme="minorHAnsi"/>
                <w:sz w:val="18"/>
                <w:szCs w:val="18"/>
                <w:lang w:val="fr-FR"/>
              </w:rPr>
            </w:pPr>
            <w:r w:rsidRPr="00EF6F04">
              <w:rPr>
                <w:rFonts w:cstheme="minorHAnsi"/>
                <w:sz w:val="18"/>
                <w:szCs w:val="18"/>
                <w:lang w:val="fr-FR"/>
              </w:rPr>
              <w:t>Bénévent</w:t>
            </w:r>
          </w:p>
          <w:p w:rsidR="0056479F" w:rsidRPr="00EF6F04" w:rsidRDefault="0056479F" w:rsidP="00EF6F04">
            <w:pPr>
              <w:suppressAutoHyphens/>
              <w:jc w:val="center"/>
              <w:rPr>
                <w:rFonts w:cstheme="minorHAnsi"/>
                <w:sz w:val="14"/>
                <w:szCs w:val="14"/>
                <w:lang w:val="fr-FR"/>
              </w:rPr>
            </w:pPr>
          </w:p>
          <w:p w:rsidR="0056479F" w:rsidRPr="00EF6F04" w:rsidRDefault="0056479F" w:rsidP="00EF6F04">
            <w:pPr>
              <w:suppressAutoHyphens/>
              <w:jc w:val="center"/>
              <w:rPr>
                <w:rFonts w:cstheme="minorHAnsi"/>
                <w:b/>
                <w:sz w:val="18"/>
                <w:szCs w:val="18"/>
                <w:lang w:val="fr-FR"/>
              </w:rPr>
            </w:pPr>
            <w:r w:rsidRPr="00EF6F04">
              <w:rPr>
                <w:rFonts w:cstheme="minorHAnsi"/>
                <w:b/>
                <w:sz w:val="18"/>
                <w:szCs w:val="18"/>
                <w:lang w:val="fr-FR"/>
              </w:rPr>
              <w:t>Francesco RUSSO</w:t>
            </w:r>
          </w:p>
          <w:p w:rsidR="0056479F" w:rsidRPr="00EF6F04" w:rsidRDefault="0056479F" w:rsidP="00EF6F04">
            <w:pPr>
              <w:suppressAutoHyphens/>
              <w:jc w:val="center"/>
              <w:rPr>
                <w:rFonts w:cstheme="minorHAnsi"/>
                <w:sz w:val="18"/>
                <w:szCs w:val="18"/>
                <w:lang w:val="fr-FR"/>
              </w:rPr>
            </w:pPr>
            <w:r w:rsidRPr="00EF6F04">
              <w:rPr>
                <w:rFonts w:cstheme="minorHAnsi"/>
                <w:sz w:val="18"/>
                <w:szCs w:val="18"/>
                <w:lang w:val="fr-FR"/>
              </w:rPr>
              <w:t>23/07/1960</w:t>
            </w:r>
          </w:p>
          <w:p w:rsidR="0056479F" w:rsidRPr="00EF6F04" w:rsidRDefault="0056479F" w:rsidP="00EF6F04">
            <w:pPr>
              <w:suppressAutoHyphens/>
              <w:jc w:val="center"/>
              <w:rPr>
                <w:rFonts w:cstheme="minorHAnsi"/>
                <w:sz w:val="18"/>
                <w:szCs w:val="18"/>
                <w:lang w:val="fr-FR"/>
              </w:rPr>
            </w:pPr>
            <w:r w:rsidRPr="00EF6F04">
              <w:rPr>
                <w:rFonts w:cstheme="minorHAnsi"/>
                <w:sz w:val="18"/>
                <w:szCs w:val="18"/>
                <w:lang w:val="fr-FR"/>
              </w:rPr>
              <w:t>Bénévent</w:t>
            </w:r>
          </w:p>
          <w:p w:rsidR="0056479F" w:rsidRPr="00EF6F04" w:rsidRDefault="0056479F" w:rsidP="00EF6F04">
            <w:pPr>
              <w:suppressAutoHyphens/>
              <w:jc w:val="center"/>
              <w:rPr>
                <w:rFonts w:cstheme="minorHAnsi"/>
                <w:sz w:val="14"/>
                <w:szCs w:val="14"/>
                <w:lang w:val="fr-FR"/>
              </w:rPr>
            </w:pPr>
          </w:p>
          <w:p w:rsidR="0056479F" w:rsidRPr="00EF6F04" w:rsidRDefault="0056479F" w:rsidP="00EF6F04">
            <w:pPr>
              <w:suppressAutoHyphens/>
              <w:jc w:val="center"/>
              <w:rPr>
                <w:rFonts w:cstheme="minorHAnsi"/>
                <w:b/>
                <w:sz w:val="18"/>
                <w:szCs w:val="18"/>
                <w:lang w:val="it-IT"/>
              </w:rPr>
            </w:pPr>
            <w:r w:rsidRPr="00EF6F04">
              <w:rPr>
                <w:rFonts w:cstheme="minorHAnsi"/>
                <w:b/>
                <w:sz w:val="18"/>
                <w:szCs w:val="18"/>
                <w:lang w:val="it-IT"/>
              </w:rPr>
              <w:t>Antonio RUSSO</w:t>
            </w:r>
          </w:p>
          <w:p w:rsidR="0056479F" w:rsidRPr="00EF6F04" w:rsidRDefault="0056479F" w:rsidP="00EF6F04">
            <w:pPr>
              <w:suppressAutoHyphens/>
              <w:jc w:val="center"/>
              <w:rPr>
                <w:rFonts w:cstheme="minorHAnsi"/>
                <w:sz w:val="18"/>
                <w:szCs w:val="18"/>
                <w:lang w:val="fr-FR"/>
              </w:rPr>
            </w:pPr>
            <w:r w:rsidRPr="00EF6F04">
              <w:rPr>
                <w:rFonts w:cstheme="minorHAnsi"/>
                <w:sz w:val="18"/>
                <w:szCs w:val="18"/>
                <w:lang w:val="fr-FR"/>
              </w:rPr>
              <w:t>01/01/1972</w:t>
            </w:r>
          </w:p>
          <w:p w:rsidR="0056479F" w:rsidRPr="00EF6F04" w:rsidRDefault="0056479F" w:rsidP="00EF6F04">
            <w:pPr>
              <w:suppressAutoHyphens/>
              <w:jc w:val="center"/>
              <w:rPr>
                <w:rFonts w:cstheme="minorHAnsi"/>
                <w:sz w:val="18"/>
                <w:szCs w:val="18"/>
                <w:lang w:val="fr-FR"/>
              </w:rPr>
            </w:pPr>
            <w:r w:rsidRPr="00EF6F04">
              <w:rPr>
                <w:rFonts w:cstheme="minorHAnsi"/>
                <w:sz w:val="18"/>
                <w:szCs w:val="18"/>
                <w:lang w:val="fr-FR"/>
              </w:rPr>
              <w:t>Bénévent</w:t>
            </w:r>
          </w:p>
          <w:p w:rsidR="0056479F" w:rsidRPr="00EF6F04" w:rsidRDefault="0056479F" w:rsidP="00EF6F04">
            <w:pPr>
              <w:suppressAutoHyphens/>
              <w:jc w:val="center"/>
              <w:rPr>
                <w:rFonts w:cstheme="minorHAnsi"/>
                <w:sz w:val="14"/>
                <w:szCs w:val="14"/>
                <w:lang w:val="fr-FR"/>
              </w:rPr>
            </w:pPr>
          </w:p>
          <w:p w:rsidR="0056479F" w:rsidRPr="00EF6F04" w:rsidRDefault="0056479F" w:rsidP="00EF6F04">
            <w:pPr>
              <w:suppressAutoHyphens/>
              <w:jc w:val="center"/>
              <w:rPr>
                <w:rFonts w:cstheme="minorHAnsi"/>
                <w:b/>
                <w:sz w:val="18"/>
                <w:szCs w:val="18"/>
                <w:lang w:val="fr-FR"/>
              </w:rPr>
            </w:pPr>
            <w:r w:rsidRPr="00EF6F04">
              <w:rPr>
                <w:rFonts w:cstheme="minorHAnsi"/>
                <w:b/>
                <w:sz w:val="18"/>
                <w:szCs w:val="18"/>
                <w:lang w:val="fr-FR"/>
              </w:rPr>
              <w:t>Maria Concetta RUSSO</w:t>
            </w:r>
          </w:p>
          <w:p w:rsidR="0056479F" w:rsidRPr="00EF6F04" w:rsidRDefault="0056479F" w:rsidP="00EF6F04">
            <w:pPr>
              <w:suppressAutoHyphens/>
              <w:jc w:val="center"/>
              <w:rPr>
                <w:rFonts w:cstheme="minorHAnsi"/>
                <w:sz w:val="18"/>
                <w:szCs w:val="18"/>
                <w:lang w:val="fr-FR"/>
              </w:rPr>
            </w:pPr>
            <w:r w:rsidRPr="00EF6F04">
              <w:rPr>
                <w:rFonts w:cstheme="minorHAnsi"/>
                <w:sz w:val="18"/>
                <w:szCs w:val="18"/>
                <w:lang w:val="fr-FR"/>
              </w:rPr>
              <w:t>29/06/1962</w:t>
            </w:r>
          </w:p>
          <w:p w:rsidR="0056479F" w:rsidRPr="00EF6F04" w:rsidRDefault="0056479F" w:rsidP="00EF6F04">
            <w:pPr>
              <w:suppressAutoHyphens/>
              <w:jc w:val="center"/>
              <w:rPr>
                <w:rFonts w:cstheme="minorHAnsi"/>
                <w:sz w:val="18"/>
                <w:szCs w:val="18"/>
                <w:lang w:val="fr-FR"/>
              </w:rPr>
            </w:pPr>
            <w:r w:rsidRPr="00EF6F04">
              <w:rPr>
                <w:rFonts w:cstheme="minorHAnsi"/>
                <w:sz w:val="18"/>
                <w:szCs w:val="18"/>
                <w:lang w:val="fr-FR"/>
              </w:rPr>
              <w:t>Bénévent</w:t>
            </w:r>
          </w:p>
          <w:p w:rsidR="0056479F" w:rsidRPr="00EF6F04" w:rsidRDefault="0056479F" w:rsidP="00EF6F04">
            <w:pPr>
              <w:suppressAutoHyphens/>
              <w:rPr>
                <w:rStyle w:val="column02"/>
                <w:rFonts w:cstheme="minorHAnsi"/>
                <w:sz w:val="14"/>
                <w:szCs w:val="14"/>
                <w:lang w:val="fr-FR"/>
              </w:rPr>
            </w:pPr>
          </w:p>
        </w:tc>
        <w:tc>
          <w:tcPr>
            <w:tcW w:w="4227" w:type="dxa"/>
            <w:shd w:val="clear" w:color="auto" w:fill="auto"/>
            <w:vAlign w:val="center"/>
          </w:tcPr>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Recours introduit le 2</w:t>
            </w:r>
            <w:r w:rsidR="00650C2E" w:rsidRPr="00EF6F04">
              <w:rPr>
                <w:rStyle w:val="column03"/>
                <w:rFonts w:cstheme="minorHAnsi"/>
                <w:sz w:val="18"/>
                <w:szCs w:val="18"/>
                <w:lang w:val="fr-FR"/>
              </w:rPr>
              <w:t>8</w:t>
            </w:r>
            <w:r w:rsidRPr="00EF6F04">
              <w:rPr>
                <w:rStyle w:val="column03"/>
                <w:rFonts w:cstheme="minorHAnsi"/>
                <w:sz w:val="18"/>
                <w:szCs w:val="18"/>
                <w:lang w:val="fr-FR"/>
              </w:rPr>
              <w:t xml:space="preserve"> août 1990</w:t>
            </w: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(RG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 xml:space="preserve"> 5508/90)</w:t>
            </w:r>
          </w:p>
          <w:p w:rsidR="0056479F" w:rsidRPr="00EF6F04" w:rsidRDefault="0056479F" w:rsidP="00EF6F04">
            <w:pPr>
              <w:jc w:val="left"/>
              <w:rPr>
                <w:rStyle w:val="column03"/>
                <w:rFonts w:cstheme="minorHAnsi"/>
                <w:sz w:val="18"/>
                <w:szCs w:val="18"/>
                <w:lang w:val="fr-FR"/>
              </w:rPr>
            </w:pPr>
          </w:p>
          <w:p w:rsidR="00975966" w:rsidRPr="00EF6F04" w:rsidRDefault="00975966"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28/08/1990</w:t>
            </w:r>
          </w:p>
          <w:p w:rsidR="00975966" w:rsidRPr="00EF6F04" w:rsidRDefault="00975966" w:rsidP="00EF6F04">
            <w:pPr>
              <w:jc w:val="left"/>
              <w:rPr>
                <w:rStyle w:val="column03"/>
                <w:rFonts w:cstheme="minorHAnsi"/>
                <w:sz w:val="18"/>
                <w:szCs w:val="18"/>
                <w:lang w:val="fr-FR"/>
              </w:rPr>
            </w:pPr>
          </w:p>
          <w:p w:rsidR="000420C4" w:rsidRPr="00EF6F04" w:rsidRDefault="000420C4" w:rsidP="00EF6F04">
            <w:pPr>
              <w:jc w:val="left"/>
              <w:rPr>
                <w:rStyle w:val="column03"/>
                <w:rFonts w:cstheme="minorHAnsi"/>
                <w:sz w:val="18"/>
                <w:szCs w:val="18"/>
                <w:lang w:val="fr-FR"/>
              </w:rPr>
            </w:pPr>
            <w:r w:rsidRPr="00EF6F04">
              <w:rPr>
                <w:rStyle w:val="column03"/>
                <w:rFonts w:cstheme="minorHAnsi"/>
                <w:sz w:val="18"/>
                <w:szCs w:val="18"/>
                <w:lang w:val="fr-FR"/>
              </w:rPr>
              <w:t>Acte d</w:t>
            </w:r>
            <w:r w:rsidR="00EF6F04" w:rsidRPr="00EF6F04">
              <w:rPr>
                <w:rStyle w:val="column03"/>
                <w:rFonts w:cstheme="minorHAnsi"/>
                <w:sz w:val="18"/>
                <w:szCs w:val="18"/>
                <w:lang w:val="fr-FR"/>
              </w:rPr>
              <w:t>’</w:t>
            </w:r>
            <w:r w:rsidRPr="00EF6F04">
              <w:rPr>
                <w:rStyle w:val="column03"/>
                <w:rFonts w:cstheme="minorHAnsi"/>
                <w:sz w:val="18"/>
                <w:szCs w:val="18"/>
                <w:lang w:val="fr-FR"/>
              </w:rPr>
              <w:t>intervention dans la procédure</w:t>
            </w:r>
            <w:r w:rsidR="0061642D" w:rsidRPr="00EF6F04">
              <w:rPr>
                <w:rStyle w:val="column03"/>
                <w:rFonts w:cstheme="minorHAnsi"/>
                <w:sz w:val="18"/>
                <w:szCs w:val="18"/>
                <w:lang w:val="fr-FR"/>
              </w:rPr>
              <w:t xml:space="preserve"> en qualité d</w:t>
            </w:r>
            <w:r w:rsidR="00EF6F04" w:rsidRPr="00EF6F04">
              <w:rPr>
                <w:rStyle w:val="column03"/>
                <w:rFonts w:cstheme="minorHAnsi"/>
                <w:sz w:val="18"/>
                <w:szCs w:val="18"/>
                <w:lang w:val="fr-FR"/>
              </w:rPr>
              <w:t>’</w:t>
            </w:r>
            <w:r w:rsidR="0061642D" w:rsidRPr="00EF6F04">
              <w:rPr>
                <w:rStyle w:val="column03"/>
                <w:rFonts w:cstheme="minorHAnsi"/>
                <w:sz w:val="18"/>
                <w:szCs w:val="18"/>
                <w:lang w:val="fr-FR"/>
              </w:rPr>
              <w:t>héritiers</w:t>
            </w:r>
            <w:r w:rsidRPr="00EF6F04">
              <w:rPr>
                <w:rStyle w:val="column03"/>
                <w:rFonts w:cstheme="minorHAnsi"/>
                <w:sz w:val="18"/>
                <w:szCs w:val="18"/>
                <w:lang w:val="fr-FR"/>
              </w:rPr>
              <w:t> : 11/07/2008</w:t>
            </w:r>
          </w:p>
          <w:p w:rsidR="00975966" w:rsidRPr="00EF6F04" w:rsidRDefault="00975966" w:rsidP="00EF6F04">
            <w:pPr>
              <w:jc w:val="left"/>
              <w:rPr>
                <w:rStyle w:val="column03"/>
                <w:rFonts w:cstheme="minorHAnsi"/>
                <w:sz w:val="18"/>
                <w:szCs w:val="18"/>
                <w:lang w:val="fr-FR"/>
              </w:rPr>
            </w:pP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11/07/2008</w:t>
            </w:r>
          </w:p>
          <w:p w:rsidR="00975966" w:rsidRPr="00EF6F04" w:rsidRDefault="00975966" w:rsidP="00EF6F04">
            <w:pPr>
              <w:jc w:val="left"/>
              <w:rPr>
                <w:rStyle w:val="column03"/>
                <w:rFonts w:cstheme="minorHAnsi"/>
                <w:sz w:val="18"/>
                <w:szCs w:val="18"/>
                <w:lang w:val="fr-FR"/>
              </w:rPr>
            </w:pP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Date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20/11/2008</w:t>
            </w:r>
          </w:p>
          <w:p w:rsidR="0056479F" w:rsidRPr="00EF6F04" w:rsidRDefault="0056479F" w:rsidP="00EF6F04">
            <w:pPr>
              <w:jc w:val="left"/>
              <w:rPr>
                <w:rStyle w:val="column03"/>
                <w:rFonts w:cstheme="minorHAnsi"/>
                <w:sz w:val="18"/>
                <w:szCs w:val="18"/>
                <w:lang w:val="fr-FR"/>
              </w:rPr>
            </w:pP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Arrêt du 5/12/2008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 xml:space="preserve"> 21038/2008)</w:t>
            </w:r>
          </w:p>
          <w:p w:rsidR="0056479F" w:rsidRPr="00EF6F04" w:rsidRDefault="0056479F" w:rsidP="00EF6F04">
            <w:pPr>
              <w:jc w:val="left"/>
              <w:rPr>
                <w:rStyle w:val="column03"/>
                <w:rFonts w:cstheme="minorHAnsi"/>
                <w:sz w:val="18"/>
                <w:szCs w:val="18"/>
                <w:lang w:val="fr-FR"/>
              </w:rPr>
            </w:pP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Durée : 18 ans et 3 mois</w:t>
            </w:r>
          </w:p>
        </w:tc>
        <w:tc>
          <w:tcPr>
            <w:tcW w:w="3260" w:type="dxa"/>
            <w:shd w:val="clear" w:color="auto" w:fill="auto"/>
            <w:vAlign w:val="center"/>
          </w:tcPr>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Date d</w:t>
            </w:r>
            <w:r w:rsidR="00EF6F04" w:rsidRPr="00EF6F04">
              <w:rPr>
                <w:rStyle w:val="column04"/>
                <w:rFonts w:cstheme="minorHAnsi"/>
                <w:sz w:val="18"/>
                <w:szCs w:val="18"/>
                <w:lang w:val="fr-FR"/>
              </w:rPr>
              <w:t>’</w:t>
            </w:r>
            <w:r w:rsidRPr="00EF6F04">
              <w:rPr>
                <w:rStyle w:val="column04"/>
                <w:rFonts w:cstheme="minorHAnsi"/>
                <w:sz w:val="18"/>
                <w:szCs w:val="18"/>
                <w:lang w:val="fr-FR"/>
              </w:rPr>
              <w:t>introduction du recours « Pinto » : 30/07/2008</w:t>
            </w:r>
          </w:p>
          <w:p w:rsidR="0056479F" w:rsidRPr="00EF6F04" w:rsidRDefault="0056479F" w:rsidP="00EF6F04">
            <w:pPr>
              <w:jc w:val="left"/>
              <w:rPr>
                <w:rStyle w:val="column04"/>
                <w:rFonts w:cstheme="minorHAnsi"/>
                <w:sz w:val="18"/>
                <w:szCs w:val="18"/>
                <w:lang w:val="fr-FR"/>
              </w:rPr>
            </w:pPr>
          </w:p>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Décision de la cour d</w:t>
            </w:r>
            <w:r w:rsidR="00EF6F04" w:rsidRPr="00EF6F04">
              <w:rPr>
                <w:rStyle w:val="column04"/>
                <w:rFonts w:cstheme="minorHAnsi"/>
                <w:sz w:val="18"/>
                <w:szCs w:val="18"/>
                <w:lang w:val="fr-FR"/>
              </w:rPr>
              <w:t>’</w:t>
            </w:r>
            <w:r w:rsidRPr="00EF6F04">
              <w:rPr>
                <w:rStyle w:val="column04"/>
                <w:rFonts w:cstheme="minorHAnsi"/>
                <w:sz w:val="18"/>
                <w:szCs w:val="18"/>
                <w:lang w:val="fr-FR"/>
              </w:rPr>
              <w:t>appel de Naples</w:t>
            </w:r>
          </w:p>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(RG n</w:t>
            </w:r>
            <w:r w:rsidRPr="00EF6F04">
              <w:rPr>
                <w:rStyle w:val="column04"/>
                <w:rFonts w:cstheme="minorHAnsi"/>
                <w:sz w:val="18"/>
                <w:szCs w:val="18"/>
                <w:vertAlign w:val="superscript"/>
                <w:lang w:val="fr-FR"/>
              </w:rPr>
              <w:t>o</w:t>
            </w:r>
            <w:r w:rsidRPr="00EF6F04">
              <w:rPr>
                <w:rStyle w:val="column04"/>
                <w:rFonts w:cstheme="minorHAnsi"/>
                <w:sz w:val="18"/>
                <w:szCs w:val="18"/>
                <w:lang w:val="fr-FR"/>
              </w:rPr>
              <w:t xml:space="preserve"> 5333/08) : 24/02/2009</w:t>
            </w:r>
          </w:p>
          <w:p w:rsidR="0056479F" w:rsidRPr="00EF6F04" w:rsidRDefault="0056479F" w:rsidP="00EF6F04">
            <w:pPr>
              <w:jc w:val="left"/>
              <w:rPr>
                <w:rStyle w:val="column04"/>
                <w:rFonts w:cstheme="minorHAnsi"/>
                <w:sz w:val="18"/>
                <w:szCs w:val="18"/>
                <w:lang w:val="fr-FR"/>
              </w:rPr>
            </w:pPr>
          </w:p>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Cour de cassation (arrêt n</w:t>
            </w:r>
            <w:r w:rsidRPr="00EF6F04">
              <w:rPr>
                <w:rStyle w:val="column04"/>
                <w:rFonts w:cstheme="minorHAnsi"/>
                <w:sz w:val="18"/>
                <w:szCs w:val="18"/>
                <w:vertAlign w:val="superscript"/>
                <w:lang w:val="fr-FR"/>
              </w:rPr>
              <w:t>o</w:t>
            </w:r>
            <w:r w:rsidRPr="00EF6F04">
              <w:rPr>
                <w:rStyle w:val="column04"/>
                <w:rFonts w:cstheme="minorHAnsi"/>
                <w:sz w:val="18"/>
                <w:szCs w:val="18"/>
                <w:lang w:val="fr-FR"/>
              </w:rPr>
              <w:t xml:space="preserve"> 22927/11) : 4/11/2011</w:t>
            </w:r>
          </w:p>
        </w:tc>
        <w:tc>
          <w:tcPr>
            <w:tcW w:w="2015" w:type="dxa"/>
            <w:vAlign w:val="center"/>
          </w:tcPr>
          <w:p w:rsidR="0056479F" w:rsidRPr="00EF6F04" w:rsidRDefault="00DF5E60" w:rsidP="00EF6F04">
            <w:pPr>
              <w:jc w:val="center"/>
              <w:rPr>
                <w:rStyle w:val="column04"/>
                <w:rFonts w:cstheme="minorHAnsi"/>
                <w:sz w:val="18"/>
                <w:szCs w:val="18"/>
                <w:lang w:val="fr-FR"/>
              </w:rPr>
            </w:pPr>
            <w:r w:rsidRPr="00EF6F04">
              <w:rPr>
                <w:rStyle w:val="column04"/>
                <w:rFonts w:cstheme="minorHAnsi"/>
                <w:b/>
                <w:sz w:val="18"/>
                <w:szCs w:val="18"/>
                <w:lang w:val="fr-FR"/>
              </w:rPr>
              <w:t>27 375</w:t>
            </w:r>
            <w:r w:rsidR="0056479F" w:rsidRPr="00EF6F04">
              <w:rPr>
                <w:rStyle w:val="column04"/>
                <w:rFonts w:cstheme="minorHAnsi"/>
                <w:sz w:val="18"/>
                <w:szCs w:val="18"/>
                <w:lang w:val="fr-FR"/>
              </w:rPr>
              <w:t xml:space="preserve"> euros (EUR) au titre du préjudice moral</w:t>
            </w:r>
          </w:p>
        </w:tc>
      </w:tr>
      <w:tr w:rsidR="0056479F" w:rsidRPr="00EF6F04" w:rsidTr="00C0074C">
        <w:trPr>
          <w:trHeight w:val="280"/>
          <w:jc w:val="center"/>
        </w:trPr>
        <w:tc>
          <w:tcPr>
            <w:tcW w:w="340" w:type="dxa"/>
            <w:shd w:val="clear" w:color="auto" w:fill="auto"/>
            <w:vAlign w:val="center"/>
          </w:tcPr>
          <w:p w:rsidR="0056479F" w:rsidRPr="00EF6F04" w:rsidRDefault="0056479F" w:rsidP="00EF6F04">
            <w:pPr>
              <w:numPr>
                <w:ilvl w:val="0"/>
                <w:numId w:val="15"/>
              </w:numPr>
              <w:suppressAutoHyphens/>
              <w:ind w:left="357" w:hanging="357"/>
              <w:jc w:val="center"/>
              <w:rPr>
                <w:rFonts w:cstheme="minorHAnsi"/>
                <w:b/>
                <w:sz w:val="18"/>
                <w:szCs w:val="18"/>
                <w:lang w:val="fr-FR"/>
              </w:rPr>
            </w:pPr>
          </w:p>
        </w:tc>
        <w:tc>
          <w:tcPr>
            <w:tcW w:w="1417" w:type="dxa"/>
            <w:shd w:val="clear" w:color="auto" w:fill="auto"/>
            <w:vAlign w:val="center"/>
          </w:tcPr>
          <w:p w:rsidR="0056479F" w:rsidRPr="00EF6F04" w:rsidRDefault="0056479F" w:rsidP="00EF6F04">
            <w:pPr>
              <w:suppressAutoHyphens/>
              <w:jc w:val="center"/>
              <w:rPr>
                <w:rStyle w:val="column01"/>
                <w:rFonts w:cstheme="minorHAnsi"/>
                <w:b/>
                <w:sz w:val="18"/>
                <w:szCs w:val="18"/>
                <w:lang w:val="fr-FR"/>
              </w:rPr>
            </w:pPr>
            <w:r w:rsidRPr="00EF6F04">
              <w:rPr>
                <w:rStyle w:val="column01"/>
                <w:rFonts w:cstheme="minorHAnsi"/>
                <w:b/>
                <w:sz w:val="18"/>
                <w:szCs w:val="18"/>
                <w:lang w:val="fr-FR"/>
              </w:rPr>
              <w:t>22994/12</w:t>
            </w:r>
          </w:p>
          <w:p w:rsidR="0056479F" w:rsidRPr="00EF6F04" w:rsidRDefault="0056479F" w:rsidP="00EF6F04">
            <w:pPr>
              <w:suppressAutoHyphens/>
              <w:jc w:val="center"/>
              <w:rPr>
                <w:rStyle w:val="column01"/>
                <w:rFonts w:cstheme="minorHAnsi"/>
                <w:sz w:val="18"/>
                <w:szCs w:val="18"/>
                <w:lang w:val="fr-FR"/>
              </w:rPr>
            </w:pPr>
          </w:p>
          <w:p w:rsidR="0056479F" w:rsidRPr="00EF6F04" w:rsidRDefault="0056479F" w:rsidP="00EF6F04">
            <w:pPr>
              <w:suppressAutoHyphens/>
              <w:jc w:val="center"/>
              <w:rPr>
                <w:rStyle w:val="column01"/>
                <w:rFonts w:cstheme="minorHAnsi"/>
                <w:sz w:val="18"/>
                <w:szCs w:val="18"/>
                <w:lang w:val="fr-FR"/>
              </w:rPr>
            </w:pPr>
            <w:r w:rsidRPr="00EF6F04">
              <w:rPr>
                <w:rStyle w:val="column01"/>
                <w:rFonts w:cstheme="minorHAnsi"/>
                <w:sz w:val="18"/>
                <w:szCs w:val="18"/>
                <w:lang w:val="fr-FR"/>
              </w:rPr>
              <w:t>02/04/2012</w:t>
            </w:r>
          </w:p>
        </w:tc>
        <w:tc>
          <w:tcPr>
            <w:tcW w:w="2294" w:type="dxa"/>
            <w:shd w:val="clear" w:color="auto" w:fill="auto"/>
            <w:vAlign w:val="center"/>
          </w:tcPr>
          <w:p w:rsidR="0056479F" w:rsidRPr="00EF6F04" w:rsidRDefault="0056479F" w:rsidP="00EF6F04">
            <w:pPr>
              <w:suppressAutoHyphens/>
              <w:jc w:val="center"/>
              <w:rPr>
                <w:rStyle w:val="column02"/>
                <w:rFonts w:cstheme="minorHAnsi"/>
                <w:b/>
                <w:sz w:val="18"/>
                <w:szCs w:val="18"/>
                <w:lang w:val="fr-FR"/>
              </w:rPr>
            </w:pPr>
            <w:r w:rsidRPr="00EF6F04">
              <w:rPr>
                <w:rStyle w:val="column02"/>
                <w:rFonts w:cstheme="minorHAnsi"/>
                <w:b/>
                <w:sz w:val="18"/>
                <w:szCs w:val="18"/>
                <w:lang w:val="fr-FR"/>
              </w:rPr>
              <w:t>Maria Antonietta GRASSO</w:t>
            </w:r>
          </w:p>
          <w:p w:rsidR="0056479F" w:rsidRPr="00EF6F04" w:rsidRDefault="0056479F" w:rsidP="00EF6F04">
            <w:pPr>
              <w:suppressAutoHyphens/>
              <w:jc w:val="center"/>
              <w:rPr>
                <w:rStyle w:val="column02"/>
                <w:rFonts w:cstheme="minorHAnsi"/>
                <w:sz w:val="18"/>
                <w:szCs w:val="18"/>
                <w:lang w:val="fr-FR"/>
              </w:rPr>
            </w:pPr>
            <w:r w:rsidRPr="00EF6F04">
              <w:rPr>
                <w:rStyle w:val="column02"/>
                <w:rFonts w:cstheme="minorHAnsi"/>
                <w:sz w:val="18"/>
                <w:szCs w:val="18"/>
                <w:lang w:val="fr-FR"/>
              </w:rPr>
              <w:t>11/04/1947</w:t>
            </w:r>
          </w:p>
          <w:p w:rsidR="0056479F" w:rsidRPr="00EF6F04" w:rsidRDefault="0056479F" w:rsidP="00EF6F04">
            <w:pPr>
              <w:suppressAutoHyphens/>
              <w:jc w:val="center"/>
              <w:rPr>
                <w:rStyle w:val="column02"/>
                <w:rFonts w:cstheme="minorHAnsi"/>
                <w:sz w:val="18"/>
                <w:szCs w:val="18"/>
                <w:lang w:val="fr-FR"/>
              </w:rPr>
            </w:pPr>
            <w:r w:rsidRPr="00EF6F04">
              <w:rPr>
                <w:rStyle w:val="column02"/>
                <w:rFonts w:cstheme="minorHAnsi"/>
                <w:sz w:val="18"/>
                <w:szCs w:val="18"/>
                <w:lang w:val="fr-FR"/>
              </w:rPr>
              <w:t>Bénévent</w:t>
            </w:r>
          </w:p>
          <w:p w:rsidR="0056479F" w:rsidRPr="00EF6F04" w:rsidRDefault="0056479F" w:rsidP="00EF6F04">
            <w:pPr>
              <w:suppressAutoHyphens/>
              <w:jc w:val="center"/>
              <w:rPr>
                <w:rStyle w:val="column02"/>
                <w:rFonts w:cstheme="minorHAnsi"/>
                <w:sz w:val="18"/>
                <w:szCs w:val="18"/>
                <w:lang w:val="fr-FR"/>
              </w:rPr>
            </w:pPr>
          </w:p>
        </w:tc>
        <w:tc>
          <w:tcPr>
            <w:tcW w:w="4227" w:type="dxa"/>
            <w:shd w:val="clear" w:color="auto" w:fill="auto"/>
            <w:vAlign w:val="center"/>
          </w:tcPr>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Recours introduit le 23 août 1990</w:t>
            </w: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(RG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 xml:space="preserve"> 5431/90)</w:t>
            </w:r>
          </w:p>
          <w:p w:rsidR="0056479F" w:rsidRPr="00EF6F04" w:rsidRDefault="0056479F" w:rsidP="00EF6F04">
            <w:pPr>
              <w:jc w:val="left"/>
              <w:rPr>
                <w:rStyle w:val="column03"/>
                <w:rFonts w:cstheme="minorHAnsi"/>
                <w:sz w:val="18"/>
                <w:szCs w:val="18"/>
                <w:lang w:val="fr-FR"/>
              </w:rPr>
            </w:pPr>
          </w:p>
          <w:p w:rsidR="00975966" w:rsidRPr="00EF6F04" w:rsidRDefault="00975966"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28/08/1990</w:t>
            </w:r>
          </w:p>
          <w:p w:rsidR="00975966" w:rsidRPr="00EF6F04" w:rsidRDefault="00975966" w:rsidP="00EF6F04">
            <w:pPr>
              <w:jc w:val="left"/>
              <w:rPr>
                <w:rStyle w:val="column03"/>
                <w:rFonts w:cstheme="minorHAnsi"/>
                <w:sz w:val="18"/>
                <w:szCs w:val="18"/>
                <w:lang w:val="fr-FR"/>
              </w:rPr>
            </w:pPr>
          </w:p>
          <w:p w:rsidR="000420C4" w:rsidRPr="00EF6F04" w:rsidRDefault="000420C4" w:rsidP="00EF6F04">
            <w:pPr>
              <w:jc w:val="left"/>
              <w:rPr>
                <w:rStyle w:val="column03"/>
                <w:rFonts w:cstheme="minorHAnsi"/>
                <w:sz w:val="18"/>
                <w:szCs w:val="18"/>
                <w:lang w:val="fr-FR"/>
              </w:rPr>
            </w:pPr>
            <w:r w:rsidRPr="00EF6F04">
              <w:rPr>
                <w:rStyle w:val="column03"/>
                <w:rFonts w:cstheme="minorHAnsi"/>
                <w:sz w:val="18"/>
                <w:szCs w:val="18"/>
                <w:lang w:val="fr-FR"/>
              </w:rPr>
              <w:t>Acte d</w:t>
            </w:r>
            <w:r w:rsidR="00EF6F04" w:rsidRPr="00EF6F04">
              <w:rPr>
                <w:rStyle w:val="column03"/>
                <w:rFonts w:cstheme="minorHAnsi"/>
                <w:sz w:val="18"/>
                <w:szCs w:val="18"/>
                <w:lang w:val="fr-FR"/>
              </w:rPr>
              <w:t>’</w:t>
            </w:r>
            <w:r w:rsidRPr="00EF6F04">
              <w:rPr>
                <w:rStyle w:val="column03"/>
                <w:rFonts w:cstheme="minorHAnsi"/>
                <w:sz w:val="18"/>
                <w:szCs w:val="18"/>
                <w:lang w:val="fr-FR"/>
              </w:rPr>
              <w:t>intervention dans la procédure</w:t>
            </w:r>
            <w:r w:rsidR="0061642D" w:rsidRPr="00EF6F04">
              <w:rPr>
                <w:rStyle w:val="column03"/>
                <w:rFonts w:cstheme="minorHAnsi"/>
                <w:sz w:val="18"/>
                <w:szCs w:val="18"/>
                <w:lang w:val="fr-FR"/>
              </w:rPr>
              <w:t xml:space="preserve"> en qualité d</w:t>
            </w:r>
            <w:r w:rsidR="00EF6F04" w:rsidRPr="00EF6F04">
              <w:rPr>
                <w:rStyle w:val="column03"/>
                <w:rFonts w:cstheme="minorHAnsi"/>
                <w:sz w:val="18"/>
                <w:szCs w:val="18"/>
                <w:lang w:val="fr-FR"/>
              </w:rPr>
              <w:t>’</w:t>
            </w:r>
            <w:r w:rsidR="0061642D" w:rsidRPr="00EF6F04">
              <w:rPr>
                <w:rStyle w:val="column03"/>
                <w:rFonts w:cstheme="minorHAnsi"/>
                <w:sz w:val="18"/>
                <w:szCs w:val="18"/>
                <w:lang w:val="fr-FR"/>
              </w:rPr>
              <w:t>héritière</w:t>
            </w:r>
            <w:r w:rsidRPr="00EF6F04">
              <w:rPr>
                <w:rStyle w:val="column03"/>
                <w:rFonts w:cstheme="minorHAnsi"/>
                <w:sz w:val="18"/>
                <w:szCs w:val="18"/>
                <w:lang w:val="fr-FR"/>
              </w:rPr>
              <w:t> : 12/09/2008</w:t>
            </w:r>
          </w:p>
          <w:p w:rsidR="00975966" w:rsidRPr="00EF6F04" w:rsidRDefault="00975966" w:rsidP="00EF6F04">
            <w:pPr>
              <w:jc w:val="left"/>
              <w:rPr>
                <w:rStyle w:val="column03"/>
                <w:rFonts w:cstheme="minorHAnsi"/>
                <w:sz w:val="18"/>
                <w:szCs w:val="18"/>
                <w:lang w:val="fr-FR"/>
              </w:rPr>
            </w:pP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Demande de fixation de l</w:t>
            </w:r>
            <w:r w:rsidR="00EF6F04" w:rsidRPr="00EF6F04">
              <w:rPr>
                <w:rStyle w:val="column03"/>
                <w:rFonts w:cstheme="minorHAnsi"/>
                <w:sz w:val="18"/>
                <w:szCs w:val="18"/>
                <w:lang w:val="fr-FR"/>
              </w:rPr>
              <w:t>’</w:t>
            </w:r>
            <w:r w:rsidRPr="00EF6F04">
              <w:rPr>
                <w:rStyle w:val="column03"/>
                <w:rFonts w:cstheme="minorHAnsi"/>
                <w:sz w:val="18"/>
                <w:szCs w:val="18"/>
                <w:lang w:val="fr-FR"/>
              </w:rPr>
              <w:t>audience : 12/09/2008</w:t>
            </w:r>
          </w:p>
          <w:p w:rsidR="00975966" w:rsidRPr="00EF6F04" w:rsidRDefault="00975966" w:rsidP="00EF6F04">
            <w:pPr>
              <w:jc w:val="left"/>
              <w:rPr>
                <w:rStyle w:val="column03"/>
                <w:rFonts w:cstheme="minorHAnsi"/>
                <w:sz w:val="18"/>
                <w:szCs w:val="18"/>
                <w:lang w:val="fr-FR"/>
              </w:rPr>
            </w:pP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Date de l</w:t>
            </w:r>
            <w:r w:rsidR="00EF6F04" w:rsidRPr="00EF6F04">
              <w:rPr>
                <w:rStyle w:val="column03"/>
                <w:rFonts w:cstheme="minorHAnsi"/>
                <w:sz w:val="18"/>
                <w:szCs w:val="18"/>
                <w:lang w:val="fr-FR"/>
              </w:rPr>
              <w:t>’</w:t>
            </w:r>
            <w:r w:rsidR="0029160C" w:rsidRPr="00EF6F04">
              <w:rPr>
                <w:rStyle w:val="column03"/>
                <w:rFonts w:cstheme="minorHAnsi"/>
                <w:sz w:val="18"/>
                <w:szCs w:val="18"/>
                <w:lang w:val="fr-FR"/>
              </w:rPr>
              <w:t>audience : 5</w:t>
            </w:r>
            <w:r w:rsidRPr="00EF6F04">
              <w:rPr>
                <w:rStyle w:val="column03"/>
                <w:rFonts w:cstheme="minorHAnsi"/>
                <w:sz w:val="18"/>
                <w:szCs w:val="18"/>
                <w:lang w:val="fr-FR"/>
              </w:rPr>
              <w:t>/0</w:t>
            </w:r>
            <w:r w:rsidR="0029160C" w:rsidRPr="00EF6F04">
              <w:rPr>
                <w:rStyle w:val="column03"/>
                <w:rFonts w:cstheme="minorHAnsi"/>
                <w:sz w:val="18"/>
                <w:szCs w:val="18"/>
                <w:lang w:val="fr-FR"/>
              </w:rPr>
              <w:t>3</w:t>
            </w:r>
            <w:r w:rsidRPr="00EF6F04">
              <w:rPr>
                <w:rStyle w:val="column03"/>
                <w:rFonts w:cstheme="minorHAnsi"/>
                <w:sz w:val="18"/>
                <w:szCs w:val="18"/>
                <w:lang w:val="fr-FR"/>
              </w:rPr>
              <w:t>/2009</w:t>
            </w:r>
          </w:p>
          <w:p w:rsidR="0056479F" w:rsidRPr="00EF6F04" w:rsidRDefault="0056479F" w:rsidP="00EF6F04">
            <w:pPr>
              <w:jc w:val="left"/>
              <w:rPr>
                <w:rStyle w:val="column03"/>
                <w:rFonts w:cstheme="minorHAnsi"/>
                <w:sz w:val="18"/>
                <w:szCs w:val="18"/>
                <w:lang w:val="fr-FR"/>
              </w:rPr>
            </w:pPr>
          </w:p>
          <w:p w:rsidR="0056479F"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Arrêt du 13/3/2009 (n</w:t>
            </w:r>
            <w:r w:rsidRPr="00EF6F04">
              <w:rPr>
                <w:rStyle w:val="column03"/>
                <w:rFonts w:cstheme="minorHAnsi"/>
                <w:sz w:val="18"/>
                <w:szCs w:val="18"/>
                <w:vertAlign w:val="superscript"/>
                <w:lang w:val="fr-FR"/>
              </w:rPr>
              <w:t>o</w:t>
            </w:r>
            <w:r w:rsidRPr="00EF6F04">
              <w:rPr>
                <w:rStyle w:val="column03"/>
                <w:rFonts w:cstheme="minorHAnsi"/>
                <w:sz w:val="18"/>
                <w:szCs w:val="18"/>
                <w:lang w:val="fr-FR"/>
              </w:rPr>
              <w:t>1432/2009)</w:t>
            </w:r>
          </w:p>
          <w:p w:rsidR="0056479F" w:rsidRPr="00EF6F04" w:rsidRDefault="0056479F" w:rsidP="00EF6F04">
            <w:pPr>
              <w:jc w:val="left"/>
              <w:rPr>
                <w:rStyle w:val="column03"/>
                <w:rFonts w:cstheme="minorHAnsi"/>
                <w:sz w:val="18"/>
                <w:szCs w:val="18"/>
                <w:lang w:val="fr-FR"/>
              </w:rPr>
            </w:pPr>
          </w:p>
          <w:p w:rsidR="00975966" w:rsidRPr="00EF6F04" w:rsidRDefault="0056479F" w:rsidP="00EF6F04">
            <w:pPr>
              <w:jc w:val="left"/>
              <w:rPr>
                <w:rStyle w:val="column03"/>
                <w:rFonts w:cstheme="minorHAnsi"/>
                <w:sz w:val="18"/>
                <w:szCs w:val="18"/>
                <w:lang w:val="fr-FR"/>
              </w:rPr>
            </w:pPr>
            <w:r w:rsidRPr="00EF6F04">
              <w:rPr>
                <w:rStyle w:val="column03"/>
                <w:rFonts w:cstheme="minorHAnsi"/>
                <w:sz w:val="18"/>
                <w:szCs w:val="18"/>
                <w:lang w:val="fr-FR"/>
              </w:rPr>
              <w:t>Durée : 18 ans et 6 mois</w:t>
            </w:r>
          </w:p>
        </w:tc>
        <w:tc>
          <w:tcPr>
            <w:tcW w:w="3260" w:type="dxa"/>
            <w:shd w:val="clear" w:color="auto" w:fill="auto"/>
            <w:vAlign w:val="center"/>
          </w:tcPr>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Date d</w:t>
            </w:r>
            <w:r w:rsidR="00EF6F04" w:rsidRPr="00EF6F04">
              <w:rPr>
                <w:rStyle w:val="column04"/>
                <w:rFonts w:cstheme="minorHAnsi"/>
                <w:sz w:val="18"/>
                <w:szCs w:val="18"/>
                <w:lang w:val="fr-FR"/>
              </w:rPr>
              <w:t>’</w:t>
            </w:r>
            <w:r w:rsidRPr="00EF6F04">
              <w:rPr>
                <w:rStyle w:val="column04"/>
                <w:rFonts w:cstheme="minorHAnsi"/>
                <w:sz w:val="18"/>
                <w:szCs w:val="18"/>
                <w:lang w:val="fr-FR"/>
              </w:rPr>
              <w:t>introduction du recours « Pinto » : 12/09/2008</w:t>
            </w:r>
          </w:p>
          <w:p w:rsidR="0056479F" w:rsidRPr="00EF6F04" w:rsidRDefault="0056479F" w:rsidP="00EF6F04">
            <w:pPr>
              <w:jc w:val="left"/>
              <w:rPr>
                <w:rStyle w:val="column04"/>
                <w:rFonts w:cstheme="minorHAnsi"/>
                <w:sz w:val="18"/>
                <w:szCs w:val="18"/>
                <w:lang w:val="fr-FR"/>
              </w:rPr>
            </w:pPr>
          </w:p>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Décision de la cour d</w:t>
            </w:r>
            <w:r w:rsidR="00EF6F04" w:rsidRPr="00EF6F04">
              <w:rPr>
                <w:rStyle w:val="column04"/>
                <w:rFonts w:cstheme="minorHAnsi"/>
                <w:sz w:val="18"/>
                <w:szCs w:val="18"/>
                <w:lang w:val="fr-FR"/>
              </w:rPr>
              <w:t>’</w:t>
            </w:r>
            <w:r w:rsidRPr="00EF6F04">
              <w:rPr>
                <w:rStyle w:val="column04"/>
                <w:rFonts w:cstheme="minorHAnsi"/>
                <w:sz w:val="18"/>
                <w:szCs w:val="18"/>
                <w:lang w:val="fr-FR"/>
              </w:rPr>
              <w:t>appel de Naples</w:t>
            </w:r>
          </w:p>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(RG n</w:t>
            </w:r>
            <w:r w:rsidRPr="00EF6F04">
              <w:rPr>
                <w:rStyle w:val="column04"/>
                <w:rFonts w:cstheme="minorHAnsi"/>
                <w:sz w:val="18"/>
                <w:szCs w:val="18"/>
                <w:vertAlign w:val="superscript"/>
                <w:lang w:val="fr-FR"/>
              </w:rPr>
              <w:t>o</w:t>
            </w:r>
            <w:r w:rsidRPr="00EF6F04">
              <w:rPr>
                <w:rStyle w:val="column04"/>
                <w:rFonts w:cstheme="minorHAnsi"/>
                <w:sz w:val="18"/>
                <w:szCs w:val="18"/>
                <w:lang w:val="fr-FR"/>
              </w:rPr>
              <w:t xml:space="preserve"> 5504/08) : 3/04/2009</w:t>
            </w:r>
          </w:p>
          <w:p w:rsidR="0056479F" w:rsidRPr="00EF6F04" w:rsidRDefault="0056479F" w:rsidP="00EF6F04">
            <w:pPr>
              <w:jc w:val="left"/>
              <w:rPr>
                <w:rStyle w:val="column04"/>
                <w:rFonts w:cstheme="minorHAnsi"/>
                <w:sz w:val="18"/>
                <w:szCs w:val="18"/>
                <w:lang w:val="fr-FR"/>
              </w:rPr>
            </w:pPr>
          </w:p>
          <w:p w:rsidR="0056479F" w:rsidRPr="00EF6F04" w:rsidRDefault="0056479F" w:rsidP="00EF6F04">
            <w:pPr>
              <w:jc w:val="left"/>
              <w:rPr>
                <w:rStyle w:val="column04"/>
                <w:rFonts w:cstheme="minorHAnsi"/>
                <w:sz w:val="18"/>
                <w:szCs w:val="18"/>
                <w:lang w:val="fr-FR"/>
              </w:rPr>
            </w:pPr>
            <w:r w:rsidRPr="00EF6F04">
              <w:rPr>
                <w:rStyle w:val="column04"/>
                <w:rFonts w:cstheme="minorHAnsi"/>
                <w:sz w:val="18"/>
                <w:szCs w:val="18"/>
                <w:lang w:val="fr-FR"/>
              </w:rPr>
              <w:t>Cour de cassation (arrêt n</w:t>
            </w:r>
            <w:r w:rsidRPr="00EF6F04">
              <w:rPr>
                <w:rStyle w:val="column04"/>
                <w:rFonts w:cstheme="minorHAnsi"/>
                <w:sz w:val="18"/>
                <w:szCs w:val="18"/>
                <w:vertAlign w:val="superscript"/>
                <w:lang w:val="fr-FR"/>
              </w:rPr>
              <w:t>o</w:t>
            </w:r>
            <w:r w:rsidRPr="00EF6F04">
              <w:rPr>
                <w:rStyle w:val="column04"/>
                <w:rFonts w:cstheme="minorHAnsi"/>
                <w:sz w:val="18"/>
                <w:szCs w:val="18"/>
                <w:lang w:val="fr-FR"/>
              </w:rPr>
              <w:t xml:space="preserve"> 22925/11) : 4/11/2011</w:t>
            </w:r>
          </w:p>
          <w:p w:rsidR="0056479F" w:rsidRPr="00EF6F04" w:rsidRDefault="0056479F" w:rsidP="00EF6F04">
            <w:pPr>
              <w:jc w:val="left"/>
              <w:rPr>
                <w:rStyle w:val="column04"/>
                <w:rFonts w:cstheme="minorHAnsi"/>
                <w:sz w:val="18"/>
                <w:szCs w:val="18"/>
                <w:lang w:val="fr-FR"/>
              </w:rPr>
            </w:pPr>
          </w:p>
        </w:tc>
        <w:tc>
          <w:tcPr>
            <w:tcW w:w="2015" w:type="dxa"/>
            <w:vAlign w:val="center"/>
          </w:tcPr>
          <w:p w:rsidR="0056479F" w:rsidRPr="00EF6F04" w:rsidRDefault="0056479F" w:rsidP="00EF6F04">
            <w:pPr>
              <w:jc w:val="center"/>
              <w:rPr>
                <w:rStyle w:val="column04"/>
                <w:rFonts w:cstheme="minorHAnsi"/>
                <w:sz w:val="18"/>
                <w:szCs w:val="18"/>
                <w:lang w:val="fr-FR"/>
              </w:rPr>
            </w:pPr>
            <w:r w:rsidRPr="00EF6F04">
              <w:rPr>
                <w:rStyle w:val="column04"/>
                <w:rFonts w:cstheme="minorHAnsi"/>
                <w:b/>
                <w:sz w:val="18"/>
                <w:szCs w:val="18"/>
                <w:lang w:val="fr-FR"/>
              </w:rPr>
              <w:t>27 750</w:t>
            </w:r>
            <w:r w:rsidRPr="00EF6F04">
              <w:rPr>
                <w:rStyle w:val="column04"/>
                <w:rFonts w:cstheme="minorHAnsi"/>
                <w:sz w:val="18"/>
                <w:szCs w:val="18"/>
                <w:lang w:val="fr-FR"/>
              </w:rPr>
              <w:t xml:space="preserve"> euros (EUR) au titre du préjudice moral</w:t>
            </w:r>
          </w:p>
        </w:tc>
      </w:tr>
    </w:tbl>
    <w:p w:rsidR="00975966" w:rsidRPr="00EF6F04" w:rsidRDefault="00975966" w:rsidP="00EF6F04">
      <w:pPr>
        <w:rPr>
          <w:rFonts w:cstheme="minorHAnsi"/>
          <w:sz w:val="12"/>
          <w:szCs w:val="12"/>
          <w:lang w:val="fr-FR"/>
        </w:rPr>
      </w:pPr>
      <w:bookmarkStart w:id="2" w:name="TableStart"/>
      <w:bookmarkEnd w:id="2"/>
    </w:p>
    <w:sectPr w:rsidR="00975966" w:rsidRPr="00EF6F04" w:rsidSect="00C0074C">
      <w:headerReference w:type="even" r:id="rId16"/>
      <w:headerReference w:type="default" r:id="rId17"/>
      <w:footnotePr>
        <w:numRestart w:val="eachPage"/>
      </w:footnotePr>
      <w:pgSz w:w="16838" w:h="11906" w:orient="landscape" w:code="9"/>
      <w:pgMar w:top="1701" w:right="1673" w:bottom="1588" w:left="1440" w:header="130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76" w:rsidRPr="0045067D" w:rsidRDefault="008C1C76" w:rsidP="00E77CB3">
      <w:pPr>
        <w:rPr>
          <w:lang w:val="fr-FR"/>
        </w:rPr>
      </w:pPr>
      <w:r w:rsidRPr="0045067D">
        <w:rPr>
          <w:lang w:val="fr-FR"/>
        </w:rPr>
        <w:separator/>
      </w:r>
    </w:p>
  </w:endnote>
  <w:endnote w:type="continuationSeparator" w:id="0">
    <w:p w:rsidR="008C1C76" w:rsidRPr="0045067D" w:rsidRDefault="008C1C76"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E" w:rsidRPr="00150BFA" w:rsidRDefault="00B5384E" w:rsidP="00A14E21">
    <w:pPr>
      <w:jc w:val="center"/>
    </w:pPr>
    <w:r>
      <w:rPr>
        <w:noProof/>
        <w:lang w:val="it-IT" w:eastAsia="it-IT"/>
      </w:rPr>
      <w:drawing>
        <wp:inline distT="0" distB="0" distL="0" distR="0" wp14:anchorId="4200483B" wp14:editId="1FDFE03E">
          <wp:extent cx="771525" cy="619125"/>
          <wp:effectExtent l="0" t="0" r="9525" b="9525"/>
          <wp:docPr id="37" name="Picture 3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5384E" w:rsidRDefault="00B538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76" w:rsidRPr="0045067D" w:rsidRDefault="008C1C76" w:rsidP="00E77CB3">
      <w:pPr>
        <w:rPr>
          <w:lang w:val="fr-FR"/>
        </w:rPr>
      </w:pPr>
      <w:r w:rsidRPr="0045067D">
        <w:rPr>
          <w:lang w:val="fr-FR"/>
        </w:rPr>
        <w:separator/>
      </w:r>
    </w:p>
  </w:footnote>
  <w:footnote w:type="continuationSeparator" w:id="0">
    <w:p w:rsidR="008C1C76" w:rsidRPr="0045067D" w:rsidRDefault="008C1C76"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E" w:rsidRPr="00A14E21" w:rsidRDefault="00B5384E" w:rsidP="00A14E21">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E" w:rsidRPr="00A45145" w:rsidRDefault="00B5384E" w:rsidP="00A14E21">
    <w:pPr>
      <w:jc w:val="center"/>
    </w:pPr>
    <w:r>
      <w:rPr>
        <w:noProof/>
        <w:lang w:val="it-IT" w:eastAsia="it-IT"/>
      </w:rPr>
      <w:drawing>
        <wp:inline distT="0" distB="0" distL="0" distR="0" wp14:anchorId="56127C8D" wp14:editId="1E411646">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384E" w:rsidRPr="00A45145" w:rsidRDefault="00B5384E" w:rsidP="006A76DD">
    <w:pPr>
      <w:jc w:val="center"/>
    </w:pPr>
  </w:p>
  <w:p w:rsidR="00B5384E" w:rsidRDefault="00B5384E" w:rsidP="006A76DD">
    <w:pPr>
      <w:pStyle w:val="ECHRHeader"/>
      <w:tabs>
        <w:tab w:val="clear" w:pos="3686"/>
        <w:tab w:val="clear" w:pos="7371"/>
        <w:tab w:val="center" w:pos="6945"/>
        <w:tab w:val="right" w:pos="138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E" w:rsidRPr="00DC6A84" w:rsidRDefault="00B5384E" w:rsidP="009C1567">
    <w:pPr>
      <w:pStyle w:val="ECHRHeader"/>
      <w:tabs>
        <w:tab w:val="clear" w:pos="7371"/>
        <w:tab w:val="left" w:pos="4020"/>
        <w:tab w:val="right" w:pos="13890"/>
      </w:tabs>
      <w:rPr>
        <w:lang w:val="fr-FR"/>
      </w:rPr>
    </w:pPr>
    <w:r>
      <w:fldChar w:fldCharType="begin"/>
    </w:r>
    <w:r w:rsidRPr="00DC6A84">
      <w:rPr>
        <w:lang w:val="fr-FR"/>
      </w:rPr>
      <w:instrText xml:space="preserve"> PAGE </w:instrText>
    </w:r>
    <w:r>
      <w:fldChar w:fldCharType="separate"/>
    </w:r>
    <w:r w:rsidR="00757484">
      <w:rPr>
        <w:noProof/>
        <w:lang w:val="fr-FR"/>
      </w:rPr>
      <w:t>2</w:t>
    </w:r>
    <w:r>
      <w:fldChar w:fldCharType="end"/>
    </w:r>
    <w:r w:rsidRPr="00DC6A84">
      <w:rPr>
        <w:lang w:val="fr-FR"/>
      </w:rPr>
      <w:t xml:space="preserve"> </w:t>
    </w:r>
    <w:r w:rsidRPr="00DC6A84">
      <w:rPr>
        <w:lang w:val="fr-FR"/>
      </w:rPr>
      <w:tab/>
    </w:r>
    <w:r>
      <w:rPr>
        <w:noProof/>
        <w:lang w:val="fr-FR"/>
      </w:rPr>
      <w:t>ARRÊT</w:t>
    </w:r>
    <w:r w:rsidRPr="00400C81">
      <w:rPr>
        <w:lang w:val="fr-FR"/>
      </w:rPr>
      <w:t xml:space="preserve"> OLIVIERI ET AUTRES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E" w:rsidRPr="00DC6A84" w:rsidRDefault="00B5384E" w:rsidP="00AF20F6">
    <w:pPr>
      <w:pStyle w:val="ECHRHeader"/>
      <w:tabs>
        <w:tab w:val="clear" w:pos="3686"/>
        <w:tab w:val="clear" w:pos="7371"/>
        <w:tab w:val="center" w:pos="3544"/>
        <w:tab w:val="left" w:pos="7088"/>
        <w:tab w:val="right" w:pos="13890"/>
      </w:tabs>
      <w:rPr>
        <w:lang w:val="fr-FR"/>
      </w:rPr>
    </w:pPr>
    <w:r>
      <w:rPr>
        <w:noProof/>
        <w:lang w:val="fr-FR"/>
      </w:rPr>
      <w:tab/>
      <w:t>ARRÊT</w:t>
    </w:r>
    <w:r w:rsidRPr="00400C81">
      <w:rPr>
        <w:lang w:val="fr-FR"/>
      </w:rPr>
      <w:t xml:space="preserve"> OLIVIERI ET AUTRES c. </w:t>
    </w:r>
    <w:r>
      <w:rPr>
        <w:lang w:val="fr-FR"/>
      </w:rPr>
      <w:t>ITALIE</w:t>
    </w:r>
    <w:r>
      <w:rPr>
        <w:lang w:val="fr-FR"/>
      </w:rPr>
      <w:tab/>
    </w:r>
    <w:r>
      <w:rPr>
        <w:lang w:val="fr-FR"/>
      </w:rPr>
      <w:fldChar w:fldCharType="begin"/>
    </w:r>
    <w:r>
      <w:rPr>
        <w:lang w:val="fr-FR"/>
      </w:rPr>
      <w:instrText xml:space="preserve"> PAGE </w:instrText>
    </w:r>
    <w:r>
      <w:rPr>
        <w:lang w:val="fr-FR"/>
      </w:rPr>
      <w:fldChar w:fldCharType="separate"/>
    </w:r>
    <w:r w:rsidR="00757484">
      <w:rPr>
        <w:noProof/>
        <w:lang w:val="fr-FR"/>
      </w:rPr>
      <w:t>3</w:t>
    </w:r>
    <w:r>
      <w:rPr>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E" w:rsidRPr="00DC6A84" w:rsidRDefault="00B5384E" w:rsidP="00D21987">
    <w:pPr>
      <w:pStyle w:val="ECHRHeader"/>
      <w:tabs>
        <w:tab w:val="clear" w:pos="3686"/>
        <w:tab w:val="clear" w:pos="7371"/>
        <w:tab w:val="center" w:pos="6946"/>
      </w:tabs>
      <w:rPr>
        <w:lang w:val="fr-FR"/>
      </w:rPr>
    </w:pPr>
    <w:r>
      <w:fldChar w:fldCharType="begin"/>
    </w:r>
    <w:r w:rsidRPr="00DC6A84">
      <w:rPr>
        <w:lang w:val="fr-FR"/>
      </w:rPr>
      <w:instrText xml:space="preserve"> PAGE </w:instrText>
    </w:r>
    <w:r>
      <w:fldChar w:fldCharType="separate"/>
    </w:r>
    <w:r w:rsidR="00757484">
      <w:rPr>
        <w:noProof/>
        <w:lang w:val="fr-FR"/>
      </w:rPr>
      <w:t>18</w:t>
    </w:r>
    <w:r>
      <w:fldChar w:fldCharType="end"/>
    </w:r>
    <w:r w:rsidRPr="00DC6A84">
      <w:rPr>
        <w:lang w:val="fr-FR"/>
      </w:rPr>
      <w:t xml:space="preserve"> </w:t>
    </w:r>
    <w:r w:rsidRPr="00DC6A84">
      <w:rPr>
        <w:lang w:val="fr-FR"/>
      </w:rPr>
      <w:tab/>
    </w:r>
    <w:r>
      <w:rPr>
        <w:noProof/>
        <w:lang w:val="fr-FR"/>
      </w:rPr>
      <w:t>ARR</w:t>
    </w:r>
    <w:r>
      <w:rPr>
        <w:rFonts w:cstheme="minorHAnsi"/>
        <w:noProof/>
        <w:lang w:val="fr-FR"/>
      </w:rPr>
      <w:t>Ê</w:t>
    </w:r>
    <w:r>
      <w:rPr>
        <w:noProof/>
        <w:lang w:val="fr-FR"/>
      </w:rPr>
      <w:t>T</w:t>
    </w:r>
    <w:r w:rsidRPr="00400C81">
      <w:rPr>
        <w:lang w:val="fr-FR"/>
      </w:rPr>
      <w:t xml:space="preserve"> OLIVIERI ET AUTRES c. ITALIE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E" w:rsidRPr="00DC6A84" w:rsidRDefault="00B5384E" w:rsidP="00D21987">
    <w:pPr>
      <w:pStyle w:val="ECHRHeader"/>
      <w:tabs>
        <w:tab w:val="clear" w:pos="3686"/>
        <w:tab w:val="clear" w:pos="7371"/>
        <w:tab w:val="center" w:pos="6521"/>
        <w:tab w:val="right" w:pos="13890"/>
      </w:tabs>
      <w:jc w:val="center"/>
      <w:rPr>
        <w:lang w:val="fr-FR"/>
      </w:rPr>
    </w:pPr>
    <w:r>
      <w:rPr>
        <w:noProof/>
        <w:lang w:val="fr-FR"/>
      </w:rPr>
      <w:tab/>
      <w:t>ARR</w:t>
    </w:r>
    <w:r>
      <w:rPr>
        <w:rFonts w:cstheme="minorHAnsi"/>
        <w:noProof/>
        <w:lang w:val="fr-FR"/>
      </w:rPr>
      <w:t>Ê</w:t>
    </w:r>
    <w:r>
      <w:rPr>
        <w:noProof/>
        <w:lang w:val="fr-FR"/>
      </w:rPr>
      <w:t>T</w:t>
    </w:r>
    <w:r w:rsidRPr="00400C81">
      <w:rPr>
        <w:lang w:val="fr-FR"/>
      </w:rPr>
      <w:t xml:space="preserve"> OLIVIERI ET AUTRES c. </w:t>
    </w:r>
    <w:r>
      <w:rPr>
        <w:lang w:val="fr-FR"/>
      </w:rPr>
      <w:t>ITALIE</w:t>
    </w:r>
    <w:r>
      <w:rPr>
        <w:lang w:val="fr-FR"/>
      </w:rPr>
      <w:tab/>
    </w:r>
    <w:r>
      <w:rPr>
        <w:lang w:val="fr-FR"/>
      </w:rPr>
      <w:fldChar w:fldCharType="begin"/>
    </w:r>
    <w:r>
      <w:rPr>
        <w:lang w:val="fr-FR"/>
      </w:rPr>
      <w:instrText xml:space="preserve"> PAGE </w:instrText>
    </w:r>
    <w:r>
      <w:rPr>
        <w:lang w:val="fr-FR"/>
      </w:rPr>
      <w:fldChar w:fldCharType="separate"/>
    </w:r>
    <w:r w:rsidR="00757484">
      <w:rPr>
        <w:noProof/>
        <w:lang w:val="fr-FR"/>
      </w:rPr>
      <w:t>17</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6A1A91"/>
    <w:multiLevelType w:val="hybridMultilevel"/>
    <w:tmpl w:val="8C96D84C"/>
    <w:lvl w:ilvl="0" w:tplc="81F8ABE2">
      <w:start w:val="1"/>
      <w:numFmt w:val="decimal"/>
      <w:lvlText w:val="%1."/>
      <w:lvlJc w:val="left"/>
      <w:pPr>
        <w:tabs>
          <w:tab w:val="num" w:pos="502"/>
        </w:tabs>
        <w:ind w:left="502" w:hanging="360"/>
      </w:pPr>
      <w:rPr>
        <w:sz w:val="20"/>
      </w:rPr>
    </w:lvl>
    <w:lvl w:ilvl="1" w:tplc="08090019">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2">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9A4160"/>
    <w:rsid w:val="000041F8"/>
    <w:rsid w:val="000042A8"/>
    <w:rsid w:val="00004308"/>
    <w:rsid w:val="00004E92"/>
    <w:rsid w:val="00005BF0"/>
    <w:rsid w:val="000067CC"/>
    <w:rsid w:val="00007154"/>
    <w:rsid w:val="000103AE"/>
    <w:rsid w:val="00011D69"/>
    <w:rsid w:val="00012AD3"/>
    <w:rsid w:val="00015C2D"/>
    <w:rsid w:val="00015F00"/>
    <w:rsid w:val="00022C1D"/>
    <w:rsid w:val="0002336D"/>
    <w:rsid w:val="00024837"/>
    <w:rsid w:val="00026B9F"/>
    <w:rsid w:val="00034987"/>
    <w:rsid w:val="000362E8"/>
    <w:rsid w:val="0003723A"/>
    <w:rsid w:val="000420C4"/>
    <w:rsid w:val="00054A60"/>
    <w:rsid w:val="00055B6D"/>
    <w:rsid w:val="000602DF"/>
    <w:rsid w:val="00061B05"/>
    <w:rsid w:val="000632D5"/>
    <w:rsid w:val="000644EE"/>
    <w:rsid w:val="000658AB"/>
    <w:rsid w:val="00066A71"/>
    <w:rsid w:val="00067E97"/>
    <w:rsid w:val="00073E0A"/>
    <w:rsid w:val="00074376"/>
    <w:rsid w:val="000806AD"/>
    <w:rsid w:val="00082203"/>
    <w:rsid w:val="0008372A"/>
    <w:rsid w:val="0008428F"/>
    <w:rsid w:val="00087E2B"/>
    <w:rsid w:val="0009060F"/>
    <w:rsid w:val="000925AD"/>
    <w:rsid w:val="00096647"/>
    <w:rsid w:val="000A24EB"/>
    <w:rsid w:val="000B5C05"/>
    <w:rsid w:val="000B681D"/>
    <w:rsid w:val="000B6923"/>
    <w:rsid w:val="000C2835"/>
    <w:rsid w:val="000C2EE2"/>
    <w:rsid w:val="000C578C"/>
    <w:rsid w:val="000C5F3C"/>
    <w:rsid w:val="000C69F7"/>
    <w:rsid w:val="000C6DCC"/>
    <w:rsid w:val="000D0275"/>
    <w:rsid w:val="000D326A"/>
    <w:rsid w:val="000D47AA"/>
    <w:rsid w:val="000D721F"/>
    <w:rsid w:val="000E069B"/>
    <w:rsid w:val="000E0E82"/>
    <w:rsid w:val="000E1DC5"/>
    <w:rsid w:val="000E223F"/>
    <w:rsid w:val="000E7D45"/>
    <w:rsid w:val="000F00EF"/>
    <w:rsid w:val="000F6177"/>
    <w:rsid w:val="000F61F3"/>
    <w:rsid w:val="000F6802"/>
    <w:rsid w:val="000F7851"/>
    <w:rsid w:val="00104E23"/>
    <w:rsid w:val="00111B0C"/>
    <w:rsid w:val="00115E9C"/>
    <w:rsid w:val="00120D6C"/>
    <w:rsid w:val="001257EC"/>
    <w:rsid w:val="00126F94"/>
    <w:rsid w:val="00133D33"/>
    <w:rsid w:val="00134D64"/>
    <w:rsid w:val="00135A30"/>
    <w:rsid w:val="0013612C"/>
    <w:rsid w:val="00137FF6"/>
    <w:rsid w:val="00141650"/>
    <w:rsid w:val="00151CA1"/>
    <w:rsid w:val="001538CB"/>
    <w:rsid w:val="00155A96"/>
    <w:rsid w:val="0016174F"/>
    <w:rsid w:val="00162A12"/>
    <w:rsid w:val="00166530"/>
    <w:rsid w:val="001665D5"/>
    <w:rsid w:val="0017026E"/>
    <w:rsid w:val="00182124"/>
    <w:rsid w:val="001832BD"/>
    <w:rsid w:val="00187417"/>
    <w:rsid w:val="0018779A"/>
    <w:rsid w:val="001943B5"/>
    <w:rsid w:val="00195134"/>
    <w:rsid w:val="001A145B"/>
    <w:rsid w:val="001A2E2D"/>
    <w:rsid w:val="001A674C"/>
    <w:rsid w:val="001B0788"/>
    <w:rsid w:val="001B2462"/>
    <w:rsid w:val="001B3B24"/>
    <w:rsid w:val="001C0F98"/>
    <w:rsid w:val="001C2A42"/>
    <w:rsid w:val="001C41FA"/>
    <w:rsid w:val="001C48B4"/>
    <w:rsid w:val="001C68BC"/>
    <w:rsid w:val="001D057F"/>
    <w:rsid w:val="001D0BE1"/>
    <w:rsid w:val="001D33D8"/>
    <w:rsid w:val="001D63ED"/>
    <w:rsid w:val="001D7348"/>
    <w:rsid w:val="001E035B"/>
    <w:rsid w:val="001E0961"/>
    <w:rsid w:val="001E1CE3"/>
    <w:rsid w:val="001E3B07"/>
    <w:rsid w:val="001E3EAE"/>
    <w:rsid w:val="001E6F32"/>
    <w:rsid w:val="001F06D8"/>
    <w:rsid w:val="001F2145"/>
    <w:rsid w:val="001F4E43"/>
    <w:rsid w:val="001F5B2D"/>
    <w:rsid w:val="001F6262"/>
    <w:rsid w:val="001F6519"/>
    <w:rsid w:val="001F67B0"/>
    <w:rsid w:val="001F7B3D"/>
    <w:rsid w:val="00205F9F"/>
    <w:rsid w:val="00210338"/>
    <w:rsid w:val="002115FC"/>
    <w:rsid w:val="0021423C"/>
    <w:rsid w:val="002173D9"/>
    <w:rsid w:val="00220218"/>
    <w:rsid w:val="00221CFD"/>
    <w:rsid w:val="002230F3"/>
    <w:rsid w:val="00230D00"/>
    <w:rsid w:val="002310B1"/>
    <w:rsid w:val="00231439"/>
    <w:rsid w:val="00231DF7"/>
    <w:rsid w:val="00231FD1"/>
    <w:rsid w:val="002339E0"/>
    <w:rsid w:val="00233CF8"/>
    <w:rsid w:val="0023575D"/>
    <w:rsid w:val="00236E3D"/>
    <w:rsid w:val="00237148"/>
    <w:rsid w:val="00237257"/>
    <w:rsid w:val="0024222D"/>
    <w:rsid w:val="00243898"/>
    <w:rsid w:val="00244B0E"/>
    <w:rsid w:val="00244F6C"/>
    <w:rsid w:val="00246193"/>
    <w:rsid w:val="002532C5"/>
    <w:rsid w:val="00257C3D"/>
    <w:rsid w:val="00260C03"/>
    <w:rsid w:val="00264317"/>
    <w:rsid w:val="0026540E"/>
    <w:rsid w:val="00275123"/>
    <w:rsid w:val="00282240"/>
    <w:rsid w:val="0028554C"/>
    <w:rsid w:val="00291379"/>
    <w:rsid w:val="0029160C"/>
    <w:rsid w:val="002948AD"/>
    <w:rsid w:val="00294BC6"/>
    <w:rsid w:val="00294F32"/>
    <w:rsid w:val="002A01CC"/>
    <w:rsid w:val="002A21FC"/>
    <w:rsid w:val="002A497E"/>
    <w:rsid w:val="002A61B1"/>
    <w:rsid w:val="002A663C"/>
    <w:rsid w:val="002B3E7E"/>
    <w:rsid w:val="002B444B"/>
    <w:rsid w:val="002B5887"/>
    <w:rsid w:val="002C0E27"/>
    <w:rsid w:val="002C3040"/>
    <w:rsid w:val="002C3B5E"/>
    <w:rsid w:val="002C62ED"/>
    <w:rsid w:val="002D022D"/>
    <w:rsid w:val="002D031A"/>
    <w:rsid w:val="002D1F10"/>
    <w:rsid w:val="002D23B6"/>
    <w:rsid w:val="002D24BB"/>
    <w:rsid w:val="002D2E21"/>
    <w:rsid w:val="002D3FF8"/>
    <w:rsid w:val="002D74EA"/>
    <w:rsid w:val="002E02CB"/>
    <w:rsid w:val="002E7756"/>
    <w:rsid w:val="002F2AF7"/>
    <w:rsid w:val="002F3BEE"/>
    <w:rsid w:val="002F7E1C"/>
    <w:rsid w:val="00301A75"/>
    <w:rsid w:val="00301BEE"/>
    <w:rsid w:val="00302F70"/>
    <w:rsid w:val="0030336F"/>
    <w:rsid w:val="0030375E"/>
    <w:rsid w:val="00305F84"/>
    <w:rsid w:val="00306F63"/>
    <w:rsid w:val="00312A30"/>
    <w:rsid w:val="0031748E"/>
    <w:rsid w:val="003202EC"/>
    <w:rsid w:val="00320F72"/>
    <w:rsid w:val="0032463E"/>
    <w:rsid w:val="00326224"/>
    <w:rsid w:val="00326AFB"/>
    <w:rsid w:val="00331E72"/>
    <w:rsid w:val="00337822"/>
    <w:rsid w:val="00337EE4"/>
    <w:rsid w:val="003404F4"/>
    <w:rsid w:val="00340D56"/>
    <w:rsid w:val="00340FFD"/>
    <w:rsid w:val="003461C1"/>
    <w:rsid w:val="003506B1"/>
    <w:rsid w:val="00352B51"/>
    <w:rsid w:val="00354F8C"/>
    <w:rsid w:val="00356AC7"/>
    <w:rsid w:val="003609FA"/>
    <w:rsid w:val="003710C8"/>
    <w:rsid w:val="00373F02"/>
    <w:rsid w:val="003750BE"/>
    <w:rsid w:val="003846B3"/>
    <w:rsid w:val="00384D99"/>
    <w:rsid w:val="00387B9D"/>
    <w:rsid w:val="0039364F"/>
    <w:rsid w:val="00396686"/>
    <w:rsid w:val="00396D76"/>
    <w:rsid w:val="0039778E"/>
    <w:rsid w:val="00397EE6"/>
    <w:rsid w:val="003A10CE"/>
    <w:rsid w:val="003A4F3B"/>
    <w:rsid w:val="003B2814"/>
    <w:rsid w:val="003B4941"/>
    <w:rsid w:val="003C5714"/>
    <w:rsid w:val="003C6224"/>
    <w:rsid w:val="003C6B9F"/>
    <w:rsid w:val="003C6E2A"/>
    <w:rsid w:val="003D0299"/>
    <w:rsid w:val="003D1769"/>
    <w:rsid w:val="003D48E7"/>
    <w:rsid w:val="003D7080"/>
    <w:rsid w:val="003E6D80"/>
    <w:rsid w:val="003F05FA"/>
    <w:rsid w:val="003F1CBD"/>
    <w:rsid w:val="003F244A"/>
    <w:rsid w:val="003F30B8"/>
    <w:rsid w:val="003F4C45"/>
    <w:rsid w:val="003F5F7B"/>
    <w:rsid w:val="003F7D64"/>
    <w:rsid w:val="00400C81"/>
    <w:rsid w:val="00403144"/>
    <w:rsid w:val="00411BF9"/>
    <w:rsid w:val="00414300"/>
    <w:rsid w:val="004147EA"/>
    <w:rsid w:val="00424151"/>
    <w:rsid w:val="00425C67"/>
    <w:rsid w:val="00427810"/>
    <w:rsid w:val="00427E7A"/>
    <w:rsid w:val="00434EC4"/>
    <w:rsid w:val="00436C49"/>
    <w:rsid w:val="00445366"/>
    <w:rsid w:val="00446B05"/>
    <w:rsid w:val="00447F5B"/>
    <w:rsid w:val="004501FC"/>
    <w:rsid w:val="0045067D"/>
    <w:rsid w:val="004570D7"/>
    <w:rsid w:val="00461DB0"/>
    <w:rsid w:val="00463926"/>
    <w:rsid w:val="004640AC"/>
    <w:rsid w:val="00464C9A"/>
    <w:rsid w:val="00465121"/>
    <w:rsid w:val="0046526E"/>
    <w:rsid w:val="00470BB1"/>
    <w:rsid w:val="004741F5"/>
    <w:rsid w:val="00474F3D"/>
    <w:rsid w:val="00477E3A"/>
    <w:rsid w:val="00483E5F"/>
    <w:rsid w:val="00485FF9"/>
    <w:rsid w:val="00486A46"/>
    <w:rsid w:val="004907F0"/>
    <w:rsid w:val="0049140B"/>
    <w:rsid w:val="004923A5"/>
    <w:rsid w:val="00496BFB"/>
    <w:rsid w:val="00497B57"/>
    <w:rsid w:val="004A15C7"/>
    <w:rsid w:val="004B013B"/>
    <w:rsid w:val="004B112B"/>
    <w:rsid w:val="004B14B9"/>
    <w:rsid w:val="004B2797"/>
    <w:rsid w:val="004B6E89"/>
    <w:rsid w:val="004C01E4"/>
    <w:rsid w:val="004C086C"/>
    <w:rsid w:val="004C0969"/>
    <w:rsid w:val="004C1F56"/>
    <w:rsid w:val="004C27BC"/>
    <w:rsid w:val="004C6B00"/>
    <w:rsid w:val="004D15F3"/>
    <w:rsid w:val="004D5311"/>
    <w:rsid w:val="004D5DCC"/>
    <w:rsid w:val="004D76EC"/>
    <w:rsid w:val="004F10AF"/>
    <w:rsid w:val="004F11A4"/>
    <w:rsid w:val="004F2389"/>
    <w:rsid w:val="004F2979"/>
    <w:rsid w:val="004F2BF8"/>
    <w:rsid w:val="004F304D"/>
    <w:rsid w:val="004F61BE"/>
    <w:rsid w:val="004F66B1"/>
    <w:rsid w:val="00500E04"/>
    <w:rsid w:val="00501410"/>
    <w:rsid w:val="00510485"/>
    <w:rsid w:val="00510527"/>
    <w:rsid w:val="0051098D"/>
    <w:rsid w:val="00511C07"/>
    <w:rsid w:val="005162B8"/>
    <w:rsid w:val="005173A6"/>
    <w:rsid w:val="00520AC2"/>
    <w:rsid w:val="00520BAA"/>
    <w:rsid w:val="00522A15"/>
    <w:rsid w:val="00525208"/>
    <w:rsid w:val="005257A5"/>
    <w:rsid w:val="005264C0"/>
    <w:rsid w:val="00526A8A"/>
    <w:rsid w:val="00531DF2"/>
    <w:rsid w:val="00534661"/>
    <w:rsid w:val="00534C66"/>
    <w:rsid w:val="00537304"/>
    <w:rsid w:val="005442EE"/>
    <w:rsid w:val="00546510"/>
    <w:rsid w:val="00547353"/>
    <w:rsid w:val="005474E7"/>
    <w:rsid w:val="00550356"/>
    <w:rsid w:val="00551272"/>
    <w:rsid w:val="005512A3"/>
    <w:rsid w:val="005523CC"/>
    <w:rsid w:val="00556883"/>
    <w:rsid w:val="005578CE"/>
    <w:rsid w:val="0056087C"/>
    <w:rsid w:val="00562781"/>
    <w:rsid w:val="005637F9"/>
    <w:rsid w:val="0056479F"/>
    <w:rsid w:val="005668CB"/>
    <w:rsid w:val="005679B1"/>
    <w:rsid w:val="0057271C"/>
    <w:rsid w:val="00572845"/>
    <w:rsid w:val="00574C83"/>
    <w:rsid w:val="00580EFC"/>
    <w:rsid w:val="005853C2"/>
    <w:rsid w:val="00591FAE"/>
    <w:rsid w:val="00592772"/>
    <w:rsid w:val="0059574A"/>
    <w:rsid w:val="00596468"/>
    <w:rsid w:val="005A02CB"/>
    <w:rsid w:val="005A1159"/>
    <w:rsid w:val="005A1B9B"/>
    <w:rsid w:val="005A3CB6"/>
    <w:rsid w:val="005A6751"/>
    <w:rsid w:val="005B092E"/>
    <w:rsid w:val="005B152C"/>
    <w:rsid w:val="005B1EE0"/>
    <w:rsid w:val="005B2B24"/>
    <w:rsid w:val="005B3E42"/>
    <w:rsid w:val="005B4425"/>
    <w:rsid w:val="005B4B94"/>
    <w:rsid w:val="005C3EE8"/>
    <w:rsid w:val="005C5C13"/>
    <w:rsid w:val="005D0099"/>
    <w:rsid w:val="005D34F9"/>
    <w:rsid w:val="005D4190"/>
    <w:rsid w:val="005D67A3"/>
    <w:rsid w:val="005E26E6"/>
    <w:rsid w:val="005E2988"/>
    <w:rsid w:val="005E3085"/>
    <w:rsid w:val="005E37C6"/>
    <w:rsid w:val="005E39A1"/>
    <w:rsid w:val="005F51E1"/>
    <w:rsid w:val="00601698"/>
    <w:rsid w:val="00603FB1"/>
    <w:rsid w:val="00606C46"/>
    <w:rsid w:val="00611C80"/>
    <w:rsid w:val="0061642D"/>
    <w:rsid w:val="0062031D"/>
    <w:rsid w:val="00620692"/>
    <w:rsid w:val="006242CA"/>
    <w:rsid w:val="00626EB8"/>
    <w:rsid w:val="00627507"/>
    <w:rsid w:val="006317C1"/>
    <w:rsid w:val="00633717"/>
    <w:rsid w:val="006344E1"/>
    <w:rsid w:val="0063635E"/>
    <w:rsid w:val="00650C2E"/>
    <w:rsid w:val="0065298D"/>
    <w:rsid w:val="006545C4"/>
    <w:rsid w:val="00656E1F"/>
    <w:rsid w:val="00661971"/>
    <w:rsid w:val="00661CE8"/>
    <w:rsid w:val="006623D9"/>
    <w:rsid w:val="0066550C"/>
    <w:rsid w:val="0066783B"/>
    <w:rsid w:val="00667B26"/>
    <w:rsid w:val="006716F2"/>
    <w:rsid w:val="0067215E"/>
    <w:rsid w:val="0067641B"/>
    <w:rsid w:val="00676BC1"/>
    <w:rsid w:val="00682BF2"/>
    <w:rsid w:val="006859CE"/>
    <w:rsid w:val="006870C7"/>
    <w:rsid w:val="00691270"/>
    <w:rsid w:val="00692916"/>
    <w:rsid w:val="00694A2E"/>
    <w:rsid w:val="00694BA8"/>
    <w:rsid w:val="006A037C"/>
    <w:rsid w:val="006A36F4"/>
    <w:rsid w:val="006A406F"/>
    <w:rsid w:val="006A5D3A"/>
    <w:rsid w:val="006A697D"/>
    <w:rsid w:val="006A76DD"/>
    <w:rsid w:val="006C1BCB"/>
    <w:rsid w:val="006C23D4"/>
    <w:rsid w:val="006C64BE"/>
    <w:rsid w:val="006C7BB0"/>
    <w:rsid w:val="006D3237"/>
    <w:rsid w:val="006E2E37"/>
    <w:rsid w:val="006E3963"/>
    <w:rsid w:val="006E3CF1"/>
    <w:rsid w:val="006E7E80"/>
    <w:rsid w:val="006F48CA"/>
    <w:rsid w:val="006F64DD"/>
    <w:rsid w:val="006F687A"/>
    <w:rsid w:val="006F6891"/>
    <w:rsid w:val="006F6AD1"/>
    <w:rsid w:val="00705503"/>
    <w:rsid w:val="00711B9F"/>
    <w:rsid w:val="00713BBC"/>
    <w:rsid w:val="00715127"/>
    <w:rsid w:val="00715E8E"/>
    <w:rsid w:val="00716D86"/>
    <w:rsid w:val="00717C05"/>
    <w:rsid w:val="00723580"/>
    <w:rsid w:val="00723755"/>
    <w:rsid w:val="007301AC"/>
    <w:rsid w:val="0073136C"/>
    <w:rsid w:val="00731F0F"/>
    <w:rsid w:val="0073277E"/>
    <w:rsid w:val="00733250"/>
    <w:rsid w:val="00741404"/>
    <w:rsid w:val="007449E5"/>
    <w:rsid w:val="00747FF0"/>
    <w:rsid w:val="00750099"/>
    <w:rsid w:val="00750411"/>
    <w:rsid w:val="00750765"/>
    <w:rsid w:val="00753393"/>
    <w:rsid w:val="00753AD3"/>
    <w:rsid w:val="00757484"/>
    <w:rsid w:val="007605A9"/>
    <w:rsid w:val="0076172F"/>
    <w:rsid w:val="00764D4E"/>
    <w:rsid w:val="00765A1F"/>
    <w:rsid w:val="00765E12"/>
    <w:rsid w:val="007759B1"/>
    <w:rsid w:val="00775B6D"/>
    <w:rsid w:val="00776D68"/>
    <w:rsid w:val="007800E3"/>
    <w:rsid w:val="007850EE"/>
    <w:rsid w:val="007857A8"/>
    <w:rsid w:val="00785B95"/>
    <w:rsid w:val="00790E96"/>
    <w:rsid w:val="00791A99"/>
    <w:rsid w:val="00793366"/>
    <w:rsid w:val="007952DA"/>
    <w:rsid w:val="00795CEE"/>
    <w:rsid w:val="007A24E4"/>
    <w:rsid w:val="007A716F"/>
    <w:rsid w:val="007B270A"/>
    <w:rsid w:val="007B4B56"/>
    <w:rsid w:val="007C0695"/>
    <w:rsid w:val="007C419A"/>
    <w:rsid w:val="007C48C8"/>
    <w:rsid w:val="007C4CC8"/>
    <w:rsid w:val="007C5426"/>
    <w:rsid w:val="007C5798"/>
    <w:rsid w:val="007D4832"/>
    <w:rsid w:val="007D7DE9"/>
    <w:rsid w:val="007E1CB6"/>
    <w:rsid w:val="007E21B2"/>
    <w:rsid w:val="007E2C4E"/>
    <w:rsid w:val="007E3ED4"/>
    <w:rsid w:val="007E48C2"/>
    <w:rsid w:val="007E77C2"/>
    <w:rsid w:val="007F1905"/>
    <w:rsid w:val="007F7049"/>
    <w:rsid w:val="00801300"/>
    <w:rsid w:val="0080160C"/>
    <w:rsid w:val="00802C64"/>
    <w:rsid w:val="0080359C"/>
    <w:rsid w:val="00805E52"/>
    <w:rsid w:val="008061D0"/>
    <w:rsid w:val="00806909"/>
    <w:rsid w:val="00807E74"/>
    <w:rsid w:val="00810AD4"/>
    <w:rsid w:val="00810B38"/>
    <w:rsid w:val="008151BB"/>
    <w:rsid w:val="0081612D"/>
    <w:rsid w:val="008204C7"/>
    <w:rsid w:val="00820992"/>
    <w:rsid w:val="00820E5B"/>
    <w:rsid w:val="00821381"/>
    <w:rsid w:val="008232CC"/>
    <w:rsid w:val="00823602"/>
    <w:rsid w:val="008238E4"/>
    <w:rsid w:val="008255F5"/>
    <w:rsid w:val="0083014E"/>
    <w:rsid w:val="00830784"/>
    <w:rsid w:val="0083214A"/>
    <w:rsid w:val="008328B4"/>
    <w:rsid w:val="00834220"/>
    <w:rsid w:val="00835D63"/>
    <w:rsid w:val="0084351A"/>
    <w:rsid w:val="00845723"/>
    <w:rsid w:val="00851EF9"/>
    <w:rsid w:val="008577FD"/>
    <w:rsid w:val="008603C4"/>
    <w:rsid w:val="00860B03"/>
    <w:rsid w:val="00861E9D"/>
    <w:rsid w:val="00863A30"/>
    <w:rsid w:val="0086497A"/>
    <w:rsid w:val="008713A1"/>
    <w:rsid w:val="0087162F"/>
    <w:rsid w:val="008754AB"/>
    <w:rsid w:val="00875AB3"/>
    <w:rsid w:val="008778E4"/>
    <w:rsid w:val="0088060C"/>
    <w:rsid w:val="0088215B"/>
    <w:rsid w:val="008825D2"/>
    <w:rsid w:val="00893576"/>
    <w:rsid w:val="00893E73"/>
    <w:rsid w:val="00895B92"/>
    <w:rsid w:val="008A76B6"/>
    <w:rsid w:val="008B02DC"/>
    <w:rsid w:val="008B1E64"/>
    <w:rsid w:val="008B57CE"/>
    <w:rsid w:val="008C1C76"/>
    <w:rsid w:val="008C26DE"/>
    <w:rsid w:val="008D18E8"/>
    <w:rsid w:val="008D2225"/>
    <w:rsid w:val="008D3BCA"/>
    <w:rsid w:val="008D46B0"/>
    <w:rsid w:val="008D4752"/>
    <w:rsid w:val="008D64A6"/>
    <w:rsid w:val="008D7298"/>
    <w:rsid w:val="008E271C"/>
    <w:rsid w:val="008E418E"/>
    <w:rsid w:val="008E5BC6"/>
    <w:rsid w:val="008E6A25"/>
    <w:rsid w:val="008F0342"/>
    <w:rsid w:val="008F0D4C"/>
    <w:rsid w:val="008F5193"/>
    <w:rsid w:val="009013A7"/>
    <w:rsid w:val="009017FB"/>
    <w:rsid w:val="009017FC"/>
    <w:rsid w:val="0090506B"/>
    <w:rsid w:val="009050C9"/>
    <w:rsid w:val="00905F6B"/>
    <w:rsid w:val="009066FC"/>
    <w:rsid w:val="009140A3"/>
    <w:rsid w:val="009144A2"/>
    <w:rsid w:val="0091510C"/>
    <w:rsid w:val="0091653F"/>
    <w:rsid w:val="00916EBD"/>
    <w:rsid w:val="009259AC"/>
    <w:rsid w:val="00926AD5"/>
    <w:rsid w:val="00926F38"/>
    <w:rsid w:val="00932414"/>
    <w:rsid w:val="0093409E"/>
    <w:rsid w:val="00934301"/>
    <w:rsid w:val="00936C2D"/>
    <w:rsid w:val="00936CD1"/>
    <w:rsid w:val="00937E6D"/>
    <w:rsid w:val="0094088B"/>
    <w:rsid w:val="00941747"/>
    <w:rsid w:val="00941EFB"/>
    <w:rsid w:val="00947AFB"/>
    <w:rsid w:val="00951D7D"/>
    <w:rsid w:val="009539D5"/>
    <w:rsid w:val="009578C8"/>
    <w:rsid w:val="009630C7"/>
    <w:rsid w:val="00964C4B"/>
    <w:rsid w:val="00972B55"/>
    <w:rsid w:val="009743B7"/>
    <w:rsid w:val="00975966"/>
    <w:rsid w:val="009802E0"/>
    <w:rsid w:val="0098228B"/>
    <w:rsid w:val="009828DA"/>
    <w:rsid w:val="00985BAB"/>
    <w:rsid w:val="00985D53"/>
    <w:rsid w:val="00987BEA"/>
    <w:rsid w:val="0099005A"/>
    <w:rsid w:val="00990E1C"/>
    <w:rsid w:val="00993261"/>
    <w:rsid w:val="00993BAB"/>
    <w:rsid w:val="009967D8"/>
    <w:rsid w:val="009A3768"/>
    <w:rsid w:val="009A4160"/>
    <w:rsid w:val="009A4C42"/>
    <w:rsid w:val="009B180E"/>
    <w:rsid w:val="009B1B5F"/>
    <w:rsid w:val="009B6673"/>
    <w:rsid w:val="009B74D4"/>
    <w:rsid w:val="009C09B1"/>
    <w:rsid w:val="009C1567"/>
    <w:rsid w:val="009C191B"/>
    <w:rsid w:val="009C2BD6"/>
    <w:rsid w:val="009D1A45"/>
    <w:rsid w:val="009E1F32"/>
    <w:rsid w:val="009E776C"/>
    <w:rsid w:val="009F00CA"/>
    <w:rsid w:val="009F0B91"/>
    <w:rsid w:val="009F2AEC"/>
    <w:rsid w:val="009F3294"/>
    <w:rsid w:val="009F4425"/>
    <w:rsid w:val="009F49A2"/>
    <w:rsid w:val="009F5EEF"/>
    <w:rsid w:val="00A00144"/>
    <w:rsid w:val="00A106EC"/>
    <w:rsid w:val="00A1251D"/>
    <w:rsid w:val="00A14E21"/>
    <w:rsid w:val="00A1726E"/>
    <w:rsid w:val="00A204CF"/>
    <w:rsid w:val="00A215C1"/>
    <w:rsid w:val="00A21870"/>
    <w:rsid w:val="00A23715"/>
    <w:rsid w:val="00A23D49"/>
    <w:rsid w:val="00A27004"/>
    <w:rsid w:val="00A30C29"/>
    <w:rsid w:val="00A33851"/>
    <w:rsid w:val="00A33C52"/>
    <w:rsid w:val="00A342E2"/>
    <w:rsid w:val="00A34DD6"/>
    <w:rsid w:val="00A36819"/>
    <w:rsid w:val="00A36989"/>
    <w:rsid w:val="00A42397"/>
    <w:rsid w:val="00A43308"/>
    <w:rsid w:val="00A43628"/>
    <w:rsid w:val="00A45B68"/>
    <w:rsid w:val="00A5271F"/>
    <w:rsid w:val="00A539B9"/>
    <w:rsid w:val="00A54192"/>
    <w:rsid w:val="00A6035E"/>
    <w:rsid w:val="00A61147"/>
    <w:rsid w:val="00A6144C"/>
    <w:rsid w:val="00A65D06"/>
    <w:rsid w:val="00A66617"/>
    <w:rsid w:val="00A66E03"/>
    <w:rsid w:val="00A671B2"/>
    <w:rsid w:val="00A671F8"/>
    <w:rsid w:val="00A673A4"/>
    <w:rsid w:val="00A67531"/>
    <w:rsid w:val="00A724AE"/>
    <w:rsid w:val="00A73329"/>
    <w:rsid w:val="00A74BC1"/>
    <w:rsid w:val="00A8205B"/>
    <w:rsid w:val="00A82359"/>
    <w:rsid w:val="00A82818"/>
    <w:rsid w:val="00A865D2"/>
    <w:rsid w:val="00A86F66"/>
    <w:rsid w:val="00A92148"/>
    <w:rsid w:val="00A9479A"/>
    <w:rsid w:val="00A94C20"/>
    <w:rsid w:val="00AA227F"/>
    <w:rsid w:val="00AA2840"/>
    <w:rsid w:val="00AA2C28"/>
    <w:rsid w:val="00AA365E"/>
    <w:rsid w:val="00AA3BC7"/>
    <w:rsid w:val="00AA4CFE"/>
    <w:rsid w:val="00AA6D6D"/>
    <w:rsid w:val="00AA754A"/>
    <w:rsid w:val="00AB099E"/>
    <w:rsid w:val="00AB4328"/>
    <w:rsid w:val="00AB68FB"/>
    <w:rsid w:val="00AC0824"/>
    <w:rsid w:val="00AC087E"/>
    <w:rsid w:val="00AC3008"/>
    <w:rsid w:val="00AC4EBF"/>
    <w:rsid w:val="00AD412E"/>
    <w:rsid w:val="00AD606E"/>
    <w:rsid w:val="00AE0A2E"/>
    <w:rsid w:val="00AE354C"/>
    <w:rsid w:val="00AE5B9B"/>
    <w:rsid w:val="00AE5C0A"/>
    <w:rsid w:val="00AF091F"/>
    <w:rsid w:val="00AF20F6"/>
    <w:rsid w:val="00AF490C"/>
    <w:rsid w:val="00AF4B07"/>
    <w:rsid w:val="00AF5649"/>
    <w:rsid w:val="00AF5CC8"/>
    <w:rsid w:val="00AF6186"/>
    <w:rsid w:val="00AF7A3A"/>
    <w:rsid w:val="00AF7B53"/>
    <w:rsid w:val="00B1518E"/>
    <w:rsid w:val="00B160DB"/>
    <w:rsid w:val="00B16FA2"/>
    <w:rsid w:val="00B20836"/>
    <w:rsid w:val="00B2305D"/>
    <w:rsid w:val="00B235BB"/>
    <w:rsid w:val="00B27A44"/>
    <w:rsid w:val="00B30BBF"/>
    <w:rsid w:val="00B30CD7"/>
    <w:rsid w:val="00B30F30"/>
    <w:rsid w:val="00B33C03"/>
    <w:rsid w:val="00B33C17"/>
    <w:rsid w:val="00B4137E"/>
    <w:rsid w:val="00B44E56"/>
    <w:rsid w:val="00B46543"/>
    <w:rsid w:val="00B46AC0"/>
    <w:rsid w:val="00B47D33"/>
    <w:rsid w:val="00B52BE0"/>
    <w:rsid w:val="00B5384E"/>
    <w:rsid w:val="00B54133"/>
    <w:rsid w:val="00B54414"/>
    <w:rsid w:val="00B62111"/>
    <w:rsid w:val="00B65E73"/>
    <w:rsid w:val="00B701ED"/>
    <w:rsid w:val="00B8086C"/>
    <w:rsid w:val="00B861B4"/>
    <w:rsid w:val="00B86DFE"/>
    <w:rsid w:val="00B90990"/>
    <w:rsid w:val="00B922FF"/>
    <w:rsid w:val="00B9281E"/>
    <w:rsid w:val="00B93925"/>
    <w:rsid w:val="00B93ECF"/>
    <w:rsid w:val="00B95187"/>
    <w:rsid w:val="00B95D1F"/>
    <w:rsid w:val="00B96E0E"/>
    <w:rsid w:val="00B9776F"/>
    <w:rsid w:val="00BA1E0F"/>
    <w:rsid w:val="00BA2D55"/>
    <w:rsid w:val="00BA71B1"/>
    <w:rsid w:val="00BB0637"/>
    <w:rsid w:val="00BB0EFC"/>
    <w:rsid w:val="00BB20D8"/>
    <w:rsid w:val="00BB345F"/>
    <w:rsid w:val="00BB68EA"/>
    <w:rsid w:val="00BC1BE0"/>
    <w:rsid w:val="00BC1C27"/>
    <w:rsid w:val="00BC4A8F"/>
    <w:rsid w:val="00BC6415"/>
    <w:rsid w:val="00BC6BBF"/>
    <w:rsid w:val="00BD1572"/>
    <w:rsid w:val="00BD5DB4"/>
    <w:rsid w:val="00BE0811"/>
    <w:rsid w:val="00BE14E3"/>
    <w:rsid w:val="00BE3774"/>
    <w:rsid w:val="00BE4157"/>
    <w:rsid w:val="00BE41E5"/>
    <w:rsid w:val="00BE439A"/>
    <w:rsid w:val="00BE67CB"/>
    <w:rsid w:val="00BF14DC"/>
    <w:rsid w:val="00BF4109"/>
    <w:rsid w:val="00BF4CC3"/>
    <w:rsid w:val="00BF6BD4"/>
    <w:rsid w:val="00BF7604"/>
    <w:rsid w:val="00C0074C"/>
    <w:rsid w:val="00C043F3"/>
    <w:rsid w:val="00C054C7"/>
    <w:rsid w:val="00C057B5"/>
    <w:rsid w:val="00C06E15"/>
    <w:rsid w:val="00C11B4A"/>
    <w:rsid w:val="00C1262B"/>
    <w:rsid w:val="00C214B3"/>
    <w:rsid w:val="00C22687"/>
    <w:rsid w:val="00C276BB"/>
    <w:rsid w:val="00C2770C"/>
    <w:rsid w:val="00C32008"/>
    <w:rsid w:val="00C32E4D"/>
    <w:rsid w:val="00C333A0"/>
    <w:rsid w:val="00C36408"/>
    <w:rsid w:val="00C36A81"/>
    <w:rsid w:val="00C41974"/>
    <w:rsid w:val="00C43265"/>
    <w:rsid w:val="00C44B5D"/>
    <w:rsid w:val="00C461BB"/>
    <w:rsid w:val="00C53F4A"/>
    <w:rsid w:val="00C54125"/>
    <w:rsid w:val="00C55B54"/>
    <w:rsid w:val="00C6098E"/>
    <w:rsid w:val="00C611D8"/>
    <w:rsid w:val="00C6152C"/>
    <w:rsid w:val="00C63990"/>
    <w:rsid w:val="00C64EF6"/>
    <w:rsid w:val="00C65050"/>
    <w:rsid w:val="00C667BB"/>
    <w:rsid w:val="00C671B7"/>
    <w:rsid w:val="00C67CCA"/>
    <w:rsid w:val="00C74810"/>
    <w:rsid w:val="00C76546"/>
    <w:rsid w:val="00C7748B"/>
    <w:rsid w:val="00C90D68"/>
    <w:rsid w:val="00C921BA"/>
    <w:rsid w:val="00C939FE"/>
    <w:rsid w:val="00C94D6F"/>
    <w:rsid w:val="00C962B7"/>
    <w:rsid w:val="00C975E3"/>
    <w:rsid w:val="00C97F15"/>
    <w:rsid w:val="00CA03B1"/>
    <w:rsid w:val="00CA202A"/>
    <w:rsid w:val="00CA4BDA"/>
    <w:rsid w:val="00CB1F66"/>
    <w:rsid w:val="00CB2951"/>
    <w:rsid w:val="00CB3C51"/>
    <w:rsid w:val="00CC3FE5"/>
    <w:rsid w:val="00CC4CF6"/>
    <w:rsid w:val="00CC71E6"/>
    <w:rsid w:val="00CD0291"/>
    <w:rsid w:val="00CD0CD8"/>
    <w:rsid w:val="00CD0F13"/>
    <w:rsid w:val="00CD282B"/>
    <w:rsid w:val="00CD31EE"/>
    <w:rsid w:val="00CD4C35"/>
    <w:rsid w:val="00CD7369"/>
    <w:rsid w:val="00CE0B0E"/>
    <w:rsid w:val="00CE3831"/>
    <w:rsid w:val="00CE65C8"/>
    <w:rsid w:val="00CE7497"/>
    <w:rsid w:val="00CF63E9"/>
    <w:rsid w:val="00D00ABB"/>
    <w:rsid w:val="00D0148E"/>
    <w:rsid w:val="00D02EEC"/>
    <w:rsid w:val="00D03027"/>
    <w:rsid w:val="00D03551"/>
    <w:rsid w:val="00D038A4"/>
    <w:rsid w:val="00D06A63"/>
    <w:rsid w:val="00D07E0E"/>
    <w:rsid w:val="00D11478"/>
    <w:rsid w:val="00D11DE0"/>
    <w:rsid w:val="00D15C45"/>
    <w:rsid w:val="00D15ED0"/>
    <w:rsid w:val="00D21987"/>
    <w:rsid w:val="00D21B3E"/>
    <w:rsid w:val="00D21FED"/>
    <w:rsid w:val="00D221FB"/>
    <w:rsid w:val="00D24251"/>
    <w:rsid w:val="00D243F3"/>
    <w:rsid w:val="00D250D7"/>
    <w:rsid w:val="00D255F4"/>
    <w:rsid w:val="00D31F3E"/>
    <w:rsid w:val="00D32449"/>
    <w:rsid w:val="00D32B61"/>
    <w:rsid w:val="00D343E2"/>
    <w:rsid w:val="00D35A5B"/>
    <w:rsid w:val="00D361A2"/>
    <w:rsid w:val="00D37C1F"/>
    <w:rsid w:val="00D41AD8"/>
    <w:rsid w:val="00D42AFF"/>
    <w:rsid w:val="00D43670"/>
    <w:rsid w:val="00D44C2E"/>
    <w:rsid w:val="00D45414"/>
    <w:rsid w:val="00D4752B"/>
    <w:rsid w:val="00D508A5"/>
    <w:rsid w:val="00D541E7"/>
    <w:rsid w:val="00D566BD"/>
    <w:rsid w:val="00D569D5"/>
    <w:rsid w:val="00D576CF"/>
    <w:rsid w:val="00D57A4D"/>
    <w:rsid w:val="00D60AA7"/>
    <w:rsid w:val="00D6435F"/>
    <w:rsid w:val="00D6513C"/>
    <w:rsid w:val="00D75B4E"/>
    <w:rsid w:val="00D75E28"/>
    <w:rsid w:val="00D772C2"/>
    <w:rsid w:val="00D8008E"/>
    <w:rsid w:val="00D82C45"/>
    <w:rsid w:val="00D908A8"/>
    <w:rsid w:val="00D96EAC"/>
    <w:rsid w:val="00D977B6"/>
    <w:rsid w:val="00D97E92"/>
    <w:rsid w:val="00DA4A31"/>
    <w:rsid w:val="00DA7B04"/>
    <w:rsid w:val="00DB0432"/>
    <w:rsid w:val="00DB36C2"/>
    <w:rsid w:val="00DB7B8B"/>
    <w:rsid w:val="00DC169B"/>
    <w:rsid w:val="00DC1B6E"/>
    <w:rsid w:val="00DC2AB9"/>
    <w:rsid w:val="00DC5527"/>
    <w:rsid w:val="00DC63F0"/>
    <w:rsid w:val="00DC7085"/>
    <w:rsid w:val="00DD09FD"/>
    <w:rsid w:val="00DD4AAB"/>
    <w:rsid w:val="00DD5146"/>
    <w:rsid w:val="00DD6EE5"/>
    <w:rsid w:val="00DD732C"/>
    <w:rsid w:val="00DE386C"/>
    <w:rsid w:val="00DE4D35"/>
    <w:rsid w:val="00DF098B"/>
    <w:rsid w:val="00DF11C4"/>
    <w:rsid w:val="00DF210C"/>
    <w:rsid w:val="00DF4B6A"/>
    <w:rsid w:val="00DF5E60"/>
    <w:rsid w:val="00E01E65"/>
    <w:rsid w:val="00E02C09"/>
    <w:rsid w:val="00E04D59"/>
    <w:rsid w:val="00E07DA1"/>
    <w:rsid w:val="00E10A72"/>
    <w:rsid w:val="00E123CB"/>
    <w:rsid w:val="00E16C43"/>
    <w:rsid w:val="00E16EF2"/>
    <w:rsid w:val="00E20E13"/>
    <w:rsid w:val="00E21DBC"/>
    <w:rsid w:val="00E2352D"/>
    <w:rsid w:val="00E25B4A"/>
    <w:rsid w:val="00E275D7"/>
    <w:rsid w:val="00E27DBE"/>
    <w:rsid w:val="00E30854"/>
    <w:rsid w:val="00E30E32"/>
    <w:rsid w:val="00E32AB1"/>
    <w:rsid w:val="00E341C4"/>
    <w:rsid w:val="00E36C71"/>
    <w:rsid w:val="00E40404"/>
    <w:rsid w:val="00E40595"/>
    <w:rsid w:val="00E4340D"/>
    <w:rsid w:val="00E4529A"/>
    <w:rsid w:val="00E459C6"/>
    <w:rsid w:val="00E468E8"/>
    <w:rsid w:val="00E47589"/>
    <w:rsid w:val="00E50CBF"/>
    <w:rsid w:val="00E5235A"/>
    <w:rsid w:val="00E534DA"/>
    <w:rsid w:val="00E64915"/>
    <w:rsid w:val="00E656A3"/>
    <w:rsid w:val="00E661D4"/>
    <w:rsid w:val="00E6681E"/>
    <w:rsid w:val="00E70091"/>
    <w:rsid w:val="00E7171B"/>
    <w:rsid w:val="00E720F5"/>
    <w:rsid w:val="00E74055"/>
    <w:rsid w:val="00E76D47"/>
    <w:rsid w:val="00E77CB3"/>
    <w:rsid w:val="00E81276"/>
    <w:rsid w:val="00E843E8"/>
    <w:rsid w:val="00E849F7"/>
    <w:rsid w:val="00E865D7"/>
    <w:rsid w:val="00E90302"/>
    <w:rsid w:val="00E96D84"/>
    <w:rsid w:val="00E97396"/>
    <w:rsid w:val="00EA185E"/>
    <w:rsid w:val="00EA18AB"/>
    <w:rsid w:val="00EA592A"/>
    <w:rsid w:val="00EB14E4"/>
    <w:rsid w:val="00EB32A5"/>
    <w:rsid w:val="00EB3346"/>
    <w:rsid w:val="00EB34ED"/>
    <w:rsid w:val="00EB51EA"/>
    <w:rsid w:val="00EB5539"/>
    <w:rsid w:val="00EB7BE0"/>
    <w:rsid w:val="00EB7E63"/>
    <w:rsid w:val="00EC05AF"/>
    <w:rsid w:val="00EC315E"/>
    <w:rsid w:val="00EC3D00"/>
    <w:rsid w:val="00EC4E17"/>
    <w:rsid w:val="00ED063B"/>
    <w:rsid w:val="00ED071F"/>
    <w:rsid w:val="00ED077C"/>
    <w:rsid w:val="00ED1190"/>
    <w:rsid w:val="00ED6544"/>
    <w:rsid w:val="00ED71F9"/>
    <w:rsid w:val="00EE0277"/>
    <w:rsid w:val="00EE38B4"/>
    <w:rsid w:val="00EE3E00"/>
    <w:rsid w:val="00EE563C"/>
    <w:rsid w:val="00EE5DD2"/>
    <w:rsid w:val="00EE773C"/>
    <w:rsid w:val="00EF0A2E"/>
    <w:rsid w:val="00EF4526"/>
    <w:rsid w:val="00EF4546"/>
    <w:rsid w:val="00EF63C2"/>
    <w:rsid w:val="00EF6F04"/>
    <w:rsid w:val="00F00A79"/>
    <w:rsid w:val="00F00E86"/>
    <w:rsid w:val="00F0289A"/>
    <w:rsid w:val="00F04C62"/>
    <w:rsid w:val="00F07C1E"/>
    <w:rsid w:val="00F105DB"/>
    <w:rsid w:val="00F132BC"/>
    <w:rsid w:val="00F13D80"/>
    <w:rsid w:val="00F153A0"/>
    <w:rsid w:val="00F16AAA"/>
    <w:rsid w:val="00F21161"/>
    <w:rsid w:val="00F21809"/>
    <w:rsid w:val="00F218EF"/>
    <w:rsid w:val="00F21BC7"/>
    <w:rsid w:val="00F23433"/>
    <w:rsid w:val="00F23A84"/>
    <w:rsid w:val="00F266A2"/>
    <w:rsid w:val="00F32269"/>
    <w:rsid w:val="00F3329D"/>
    <w:rsid w:val="00F372EC"/>
    <w:rsid w:val="00F4309D"/>
    <w:rsid w:val="00F45F6D"/>
    <w:rsid w:val="00F5036D"/>
    <w:rsid w:val="00F56A6F"/>
    <w:rsid w:val="00F5709C"/>
    <w:rsid w:val="00F578DA"/>
    <w:rsid w:val="00F616C4"/>
    <w:rsid w:val="00F63A66"/>
    <w:rsid w:val="00F64E0D"/>
    <w:rsid w:val="00F64EF1"/>
    <w:rsid w:val="00F704B1"/>
    <w:rsid w:val="00F721DD"/>
    <w:rsid w:val="00F73CD7"/>
    <w:rsid w:val="00F749C2"/>
    <w:rsid w:val="00F85F7A"/>
    <w:rsid w:val="00F8765F"/>
    <w:rsid w:val="00F90767"/>
    <w:rsid w:val="00FA685B"/>
    <w:rsid w:val="00FB0C01"/>
    <w:rsid w:val="00FB1462"/>
    <w:rsid w:val="00FB2B45"/>
    <w:rsid w:val="00FB5E70"/>
    <w:rsid w:val="00FC18F2"/>
    <w:rsid w:val="00FC1E3D"/>
    <w:rsid w:val="00FC39E5"/>
    <w:rsid w:val="00FC3A78"/>
    <w:rsid w:val="00FC7F0C"/>
    <w:rsid w:val="00FD0724"/>
    <w:rsid w:val="00FD1005"/>
    <w:rsid w:val="00FD6C75"/>
    <w:rsid w:val="00FE39EE"/>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F5649"/>
    <w:pPr>
      <w:jc w:val="both"/>
    </w:pPr>
    <w:rPr>
      <w:rFonts w:eastAsiaTheme="minorEastAsia"/>
      <w:sz w:val="24"/>
    </w:rPr>
  </w:style>
  <w:style w:type="paragraph" w:styleId="Titolo1">
    <w:name w:val="heading 1"/>
    <w:basedOn w:val="Normale"/>
    <w:next w:val="Normale"/>
    <w:link w:val="Titolo1Carattere"/>
    <w:uiPriority w:val="99"/>
    <w:semiHidden/>
    <w:rsid w:val="00AF564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F564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F564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F564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F564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AF564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F564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AF564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F564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F56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5649"/>
    <w:rPr>
      <w:rFonts w:ascii="Tahoma" w:eastAsiaTheme="minorEastAsia" w:hAnsi="Tahoma" w:cs="Tahoma"/>
      <w:sz w:val="16"/>
      <w:szCs w:val="16"/>
    </w:rPr>
  </w:style>
  <w:style w:type="character" w:styleId="Titolodellibro">
    <w:name w:val="Book Title"/>
    <w:uiPriority w:val="99"/>
    <w:semiHidden/>
    <w:qFormat/>
    <w:rsid w:val="00AF5649"/>
    <w:rPr>
      <w:i/>
      <w:iCs/>
      <w:smallCaps/>
      <w:spacing w:val="5"/>
    </w:rPr>
  </w:style>
  <w:style w:type="paragraph" w:customStyle="1" w:styleId="ECHRHeader">
    <w:name w:val="ECHR_Header"/>
    <w:aliases w:val="Ju_Header"/>
    <w:basedOn w:val="Intestazione"/>
    <w:uiPriority w:val="4"/>
    <w:qFormat/>
    <w:rsid w:val="00AF5649"/>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AF5649"/>
    <w:pPr>
      <w:jc w:val="left"/>
    </w:pPr>
    <w:rPr>
      <w:sz w:val="8"/>
    </w:rPr>
  </w:style>
  <w:style w:type="character" w:styleId="Enfasigrassetto">
    <w:name w:val="Strong"/>
    <w:uiPriority w:val="99"/>
    <w:semiHidden/>
    <w:qFormat/>
    <w:rsid w:val="00AF5649"/>
    <w:rPr>
      <w:b/>
      <w:bCs/>
    </w:rPr>
  </w:style>
  <w:style w:type="paragraph" w:styleId="Nessunaspaziatura">
    <w:name w:val="No Spacing"/>
    <w:basedOn w:val="Normale"/>
    <w:link w:val="NessunaspaziaturaCarattere"/>
    <w:semiHidden/>
    <w:qFormat/>
    <w:rsid w:val="00AF5649"/>
  </w:style>
  <w:style w:type="character" w:customStyle="1" w:styleId="NessunaspaziaturaCarattere">
    <w:name w:val="Nessuna spaziatura Carattere"/>
    <w:basedOn w:val="Carpredefinitoparagrafo"/>
    <w:link w:val="Nessunaspaziatura"/>
    <w:semiHidden/>
    <w:rsid w:val="00AF5649"/>
    <w:rPr>
      <w:rFonts w:eastAsiaTheme="minorEastAsia"/>
      <w:sz w:val="24"/>
    </w:rPr>
  </w:style>
  <w:style w:type="paragraph" w:customStyle="1" w:styleId="ECHRFooterLine">
    <w:name w:val="ECHR_Footer_Line"/>
    <w:aliases w:val="Footer_Line"/>
    <w:basedOn w:val="Normale"/>
    <w:next w:val="ECHRFooter"/>
    <w:uiPriority w:val="57"/>
    <w:semiHidden/>
    <w:rsid w:val="00AF564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AF5649"/>
    <w:pPr>
      <w:numPr>
        <w:numId w:val="14"/>
      </w:numPr>
      <w:jc w:val="left"/>
    </w:pPr>
    <w:rPr>
      <w:b/>
    </w:rPr>
  </w:style>
  <w:style w:type="paragraph" w:customStyle="1" w:styleId="OpiPara">
    <w:name w:val="Opi_Para"/>
    <w:basedOn w:val="ECHRPara"/>
    <w:uiPriority w:val="46"/>
    <w:semiHidden/>
    <w:qFormat/>
    <w:rsid w:val="00AF5649"/>
  </w:style>
  <w:style w:type="paragraph" w:customStyle="1" w:styleId="JuParaSub">
    <w:name w:val="Ju_Para_Sub"/>
    <w:basedOn w:val="ECHRPara"/>
    <w:uiPriority w:val="13"/>
    <w:qFormat/>
    <w:rsid w:val="00AF5649"/>
    <w:pPr>
      <w:ind w:left="284"/>
    </w:pPr>
  </w:style>
  <w:style w:type="paragraph" w:customStyle="1" w:styleId="ECHRTitleCentre3">
    <w:name w:val="ECHR_Title_Centre_3"/>
    <w:aliases w:val="Ju_H_Article"/>
    <w:basedOn w:val="Normale"/>
    <w:next w:val="ECHRParaQuote"/>
    <w:uiPriority w:val="27"/>
    <w:qFormat/>
    <w:rsid w:val="00AF564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F564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AF5649"/>
  </w:style>
  <w:style w:type="paragraph" w:customStyle="1" w:styleId="OpiQuot">
    <w:name w:val="Opi_Quot"/>
    <w:basedOn w:val="ECHRParaQuote"/>
    <w:uiPriority w:val="48"/>
    <w:semiHidden/>
    <w:qFormat/>
    <w:rsid w:val="00AF5649"/>
  </w:style>
  <w:style w:type="paragraph" w:customStyle="1" w:styleId="OpiQuotSub">
    <w:name w:val="Opi_Quot_Sub"/>
    <w:basedOn w:val="JuQuotSub"/>
    <w:uiPriority w:val="49"/>
    <w:semiHidden/>
    <w:qFormat/>
    <w:rsid w:val="00AF5649"/>
  </w:style>
  <w:style w:type="paragraph" w:customStyle="1" w:styleId="ECHRTitleCentre2">
    <w:name w:val="ECHR_Title_Centre_2"/>
    <w:aliases w:val="Dec_H_Case"/>
    <w:basedOn w:val="Normale"/>
    <w:next w:val="ECHRPara"/>
    <w:uiPriority w:val="8"/>
    <w:qFormat/>
    <w:rsid w:val="00AF5649"/>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AF5649"/>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AF564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F564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AF564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F564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F564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F564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AF5649"/>
    <w:pPr>
      <w:keepNext/>
      <w:keepLines/>
      <w:spacing w:before="240" w:after="120"/>
      <w:ind w:left="1236"/>
    </w:pPr>
    <w:rPr>
      <w:sz w:val="20"/>
    </w:rPr>
  </w:style>
  <w:style w:type="paragraph" w:customStyle="1" w:styleId="JuQuotSub">
    <w:name w:val="Ju_Quot_Sub"/>
    <w:basedOn w:val="ECHRParaQuote"/>
    <w:uiPriority w:val="15"/>
    <w:qFormat/>
    <w:rsid w:val="00AF5649"/>
    <w:pPr>
      <w:ind w:left="567"/>
    </w:pPr>
  </w:style>
  <w:style w:type="paragraph" w:customStyle="1" w:styleId="JuInitialled">
    <w:name w:val="Ju_Initialled"/>
    <w:basedOn w:val="Normale"/>
    <w:uiPriority w:val="31"/>
    <w:qFormat/>
    <w:rsid w:val="00AF5649"/>
    <w:pPr>
      <w:tabs>
        <w:tab w:val="center" w:pos="6407"/>
      </w:tabs>
      <w:spacing w:before="720"/>
      <w:jc w:val="right"/>
    </w:pPr>
  </w:style>
  <w:style w:type="paragraph" w:customStyle="1" w:styleId="OpiHA">
    <w:name w:val="Opi_H_A"/>
    <w:basedOn w:val="ECHRHeading1"/>
    <w:next w:val="OpiPara"/>
    <w:uiPriority w:val="41"/>
    <w:semiHidden/>
    <w:qFormat/>
    <w:rsid w:val="00AF5649"/>
    <w:pPr>
      <w:tabs>
        <w:tab w:val="clear" w:pos="357"/>
      </w:tabs>
      <w:outlineLvl w:val="1"/>
    </w:pPr>
    <w:rPr>
      <w:b/>
    </w:rPr>
  </w:style>
  <w:style w:type="paragraph" w:styleId="Intestazione">
    <w:name w:val="header"/>
    <w:basedOn w:val="Normale"/>
    <w:link w:val="IntestazioneCarattere"/>
    <w:uiPriority w:val="57"/>
    <w:semiHidden/>
    <w:rsid w:val="00AF564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F5649"/>
    <w:rPr>
      <w:sz w:val="24"/>
    </w:rPr>
  </w:style>
  <w:style w:type="character" w:customStyle="1" w:styleId="Titolo1Carattere">
    <w:name w:val="Titolo 1 Carattere"/>
    <w:basedOn w:val="Carpredefinitoparagrafo"/>
    <w:link w:val="Titolo1"/>
    <w:uiPriority w:val="99"/>
    <w:semiHidden/>
    <w:rsid w:val="00AF5649"/>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AF564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AF5649"/>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F5649"/>
    <w:rPr>
      <w:rFonts w:asciiTheme="majorHAnsi" w:eastAsiaTheme="majorEastAsia" w:hAnsiTheme="majorHAnsi" w:cstheme="majorBidi"/>
      <w:b/>
      <w:bCs/>
      <w:color w:val="4D4D4D"/>
      <w:sz w:val="26"/>
      <w:szCs w:val="26"/>
    </w:rPr>
  </w:style>
  <w:style w:type="character" w:customStyle="1" w:styleId="JUNAMES">
    <w:name w:val="JU_NAMES"/>
    <w:uiPriority w:val="17"/>
    <w:qFormat/>
    <w:rsid w:val="00AF5649"/>
    <w:rPr>
      <w:caps w:val="0"/>
      <w:smallCaps/>
    </w:rPr>
  </w:style>
  <w:style w:type="paragraph" w:customStyle="1" w:styleId="ECHRDecisionBody">
    <w:name w:val="ECHR_Decision_Body"/>
    <w:aliases w:val="Ju_Judges"/>
    <w:basedOn w:val="Normale"/>
    <w:uiPriority w:val="11"/>
    <w:qFormat/>
    <w:rsid w:val="00AF5649"/>
    <w:pPr>
      <w:tabs>
        <w:tab w:val="left" w:pos="567"/>
        <w:tab w:val="left" w:pos="1134"/>
      </w:tabs>
      <w:jc w:val="left"/>
    </w:pPr>
  </w:style>
  <w:style w:type="character" w:customStyle="1" w:styleId="Titolo3Carattere">
    <w:name w:val="Titolo 3 Carattere"/>
    <w:basedOn w:val="Carpredefinitoparagrafo"/>
    <w:link w:val="Titolo3"/>
    <w:uiPriority w:val="99"/>
    <w:semiHidden/>
    <w:rsid w:val="00AF5649"/>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AF5649"/>
    <w:pPr>
      <w:ind w:firstLine="284"/>
    </w:pPr>
  </w:style>
  <w:style w:type="character" w:customStyle="1" w:styleId="Titolo4Carattere">
    <w:name w:val="Titolo 4 Carattere"/>
    <w:basedOn w:val="Carpredefinitoparagrafo"/>
    <w:link w:val="Titolo4"/>
    <w:uiPriority w:val="99"/>
    <w:semiHidden/>
    <w:rsid w:val="00AF5649"/>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AF5649"/>
    <w:rPr>
      <w:rFonts w:asciiTheme="majorHAnsi" w:eastAsiaTheme="majorEastAsia" w:hAnsiTheme="majorHAnsi" w:cstheme="majorBidi"/>
      <w:b/>
      <w:bCs/>
      <w:color w:val="808080"/>
      <w:sz w:val="24"/>
    </w:rPr>
  </w:style>
  <w:style w:type="character" w:styleId="Enfasidelicata">
    <w:name w:val="Subtle Emphasis"/>
    <w:uiPriority w:val="99"/>
    <w:semiHidden/>
    <w:qFormat/>
    <w:rsid w:val="00AF5649"/>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AF5649"/>
    <w:pPr>
      <w:keepNext/>
      <w:keepLines/>
      <w:spacing w:before="720" w:after="240"/>
      <w:outlineLvl w:val="0"/>
    </w:pPr>
    <w:rPr>
      <w:rFonts w:asciiTheme="majorHAnsi" w:hAnsiTheme="majorHAnsi"/>
      <w:sz w:val="28"/>
    </w:rPr>
  </w:style>
  <w:style w:type="character" w:styleId="Enfasicorsivo">
    <w:name w:val="Emphasis"/>
    <w:uiPriority w:val="99"/>
    <w:semiHidden/>
    <w:qFormat/>
    <w:rsid w:val="00AF5649"/>
    <w:rPr>
      <w:b/>
      <w:bCs/>
      <w:i/>
      <w:iCs/>
      <w:spacing w:val="10"/>
      <w:bdr w:val="none" w:sz="0" w:space="0" w:color="auto"/>
      <w:shd w:val="clear" w:color="auto" w:fill="auto"/>
    </w:rPr>
  </w:style>
  <w:style w:type="paragraph" w:styleId="Pidipagina">
    <w:name w:val="footer"/>
    <w:basedOn w:val="Normale"/>
    <w:link w:val="PidipaginaCarattere"/>
    <w:uiPriority w:val="57"/>
    <w:semiHidden/>
    <w:rsid w:val="00AF564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F5649"/>
    <w:rPr>
      <w:sz w:val="24"/>
    </w:rPr>
  </w:style>
  <w:style w:type="character" w:styleId="Rimandonotaapidipagina">
    <w:name w:val="footnote reference"/>
    <w:basedOn w:val="Carpredefinitoparagrafo"/>
    <w:uiPriority w:val="99"/>
    <w:semiHidden/>
    <w:rsid w:val="00AF5649"/>
    <w:rPr>
      <w:vertAlign w:val="superscript"/>
    </w:rPr>
  </w:style>
  <w:style w:type="paragraph" w:styleId="Testonotaapidipagina">
    <w:name w:val="footnote text"/>
    <w:basedOn w:val="Normale"/>
    <w:link w:val="TestonotaapidipaginaCarattere"/>
    <w:uiPriority w:val="99"/>
    <w:semiHidden/>
    <w:rsid w:val="00AF5649"/>
    <w:rPr>
      <w:sz w:val="20"/>
      <w:szCs w:val="20"/>
    </w:rPr>
  </w:style>
  <w:style w:type="character" w:customStyle="1" w:styleId="TestonotaapidipaginaCarattere">
    <w:name w:val="Testo nota a piè di pagina Carattere"/>
    <w:basedOn w:val="Carpredefinitoparagrafo"/>
    <w:link w:val="Testonotaapidipagina"/>
    <w:uiPriority w:val="99"/>
    <w:semiHidden/>
    <w:rsid w:val="00AF5649"/>
    <w:rPr>
      <w:rFonts w:eastAsiaTheme="minorEastAsia"/>
      <w:sz w:val="20"/>
      <w:szCs w:val="20"/>
    </w:rPr>
  </w:style>
  <w:style w:type="character" w:customStyle="1" w:styleId="Titolo6Carattere">
    <w:name w:val="Titolo 6 Carattere"/>
    <w:basedOn w:val="Carpredefinitoparagrafo"/>
    <w:link w:val="Titolo6"/>
    <w:uiPriority w:val="99"/>
    <w:semiHidden/>
    <w:rsid w:val="00AF5649"/>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F5649"/>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semiHidden/>
    <w:rsid w:val="00AF564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F564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F5649"/>
    <w:rPr>
      <w:color w:val="0072BC" w:themeColor="hyperlink"/>
      <w:u w:val="single"/>
    </w:rPr>
  </w:style>
  <w:style w:type="character" w:styleId="Enfasiintensa">
    <w:name w:val="Intense Emphasis"/>
    <w:uiPriority w:val="99"/>
    <w:semiHidden/>
    <w:qFormat/>
    <w:rsid w:val="00AF5649"/>
    <w:rPr>
      <w:b/>
      <w:bCs/>
    </w:rPr>
  </w:style>
  <w:style w:type="paragraph" w:styleId="Citazioneintensa">
    <w:name w:val="Intense Quote"/>
    <w:basedOn w:val="Normale"/>
    <w:next w:val="Normale"/>
    <w:link w:val="CitazioneintensaCarattere"/>
    <w:uiPriority w:val="99"/>
    <w:semiHidden/>
    <w:qFormat/>
    <w:rsid w:val="00AF564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AF5649"/>
    <w:rPr>
      <w:rFonts w:eastAsiaTheme="minorEastAsia"/>
      <w:b/>
      <w:bCs/>
      <w:i/>
      <w:iCs/>
      <w:sz w:val="24"/>
      <w:lang w:bidi="en-US"/>
    </w:rPr>
  </w:style>
  <w:style w:type="character" w:styleId="Riferimentointenso">
    <w:name w:val="Intense Reference"/>
    <w:uiPriority w:val="99"/>
    <w:semiHidden/>
    <w:qFormat/>
    <w:rsid w:val="00AF5649"/>
    <w:rPr>
      <w:smallCaps/>
      <w:spacing w:val="5"/>
      <w:u w:val="single"/>
    </w:rPr>
  </w:style>
  <w:style w:type="paragraph" w:styleId="Paragrafoelenco">
    <w:name w:val="List Paragraph"/>
    <w:basedOn w:val="Normale"/>
    <w:uiPriority w:val="99"/>
    <w:semiHidden/>
    <w:qFormat/>
    <w:rsid w:val="00AF564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F564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AF5649"/>
    <w:rPr>
      <w:rFonts w:eastAsiaTheme="minorEastAsia"/>
      <w:i/>
      <w:iCs/>
      <w:sz w:val="24"/>
      <w:lang w:bidi="en-US"/>
    </w:rPr>
  </w:style>
  <w:style w:type="character" w:styleId="Riferimentodelicato">
    <w:name w:val="Subtle Reference"/>
    <w:uiPriority w:val="99"/>
    <w:semiHidden/>
    <w:qFormat/>
    <w:rsid w:val="00AF5649"/>
    <w:rPr>
      <w:smallCaps/>
    </w:rPr>
  </w:style>
  <w:style w:type="table" w:styleId="Grigliatabella">
    <w:name w:val="Table Grid"/>
    <w:basedOn w:val="Tabellanormale"/>
    <w:uiPriority w:val="59"/>
    <w:rsid w:val="00AF564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F5649"/>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AF5649"/>
    <w:pPr>
      <w:spacing w:after="60"/>
      <w:ind w:left="680" w:right="340" w:hanging="340"/>
    </w:pPr>
  </w:style>
  <w:style w:type="paragraph" w:styleId="Sommario3">
    <w:name w:val="toc 3"/>
    <w:basedOn w:val="Normale"/>
    <w:next w:val="Normale"/>
    <w:autoRedefine/>
    <w:uiPriority w:val="99"/>
    <w:semiHidden/>
    <w:rsid w:val="00AF5649"/>
    <w:pPr>
      <w:spacing w:after="60"/>
      <w:ind w:left="1020" w:right="340" w:hanging="340"/>
    </w:pPr>
  </w:style>
  <w:style w:type="paragraph" w:styleId="Sommario4">
    <w:name w:val="toc 4"/>
    <w:basedOn w:val="Normale"/>
    <w:next w:val="Normale"/>
    <w:autoRedefine/>
    <w:uiPriority w:val="99"/>
    <w:semiHidden/>
    <w:rsid w:val="00AF5649"/>
    <w:pPr>
      <w:tabs>
        <w:tab w:val="right" w:leader="dot" w:pos="9017"/>
      </w:tabs>
      <w:spacing w:after="60"/>
      <w:ind w:left="1361" w:right="340" w:hanging="340"/>
    </w:pPr>
  </w:style>
  <w:style w:type="paragraph" w:styleId="Sommario5">
    <w:name w:val="toc 5"/>
    <w:basedOn w:val="Normale"/>
    <w:next w:val="Normale"/>
    <w:autoRedefine/>
    <w:uiPriority w:val="99"/>
    <w:semiHidden/>
    <w:rsid w:val="00AF5649"/>
    <w:pPr>
      <w:spacing w:after="60"/>
      <w:ind w:left="1701" w:right="340" w:hanging="340"/>
    </w:pPr>
  </w:style>
  <w:style w:type="paragraph" w:styleId="Titolosommario">
    <w:name w:val="TOC Heading"/>
    <w:basedOn w:val="Titolo1"/>
    <w:next w:val="Normale"/>
    <w:uiPriority w:val="99"/>
    <w:semiHidden/>
    <w:qFormat/>
    <w:rsid w:val="00AF5649"/>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F5649"/>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AF5649"/>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F564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AF5649"/>
    <w:pPr>
      <w:tabs>
        <w:tab w:val="center" w:pos="851"/>
        <w:tab w:val="center" w:pos="6407"/>
      </w:tabs>
      <w:spacing w:before="720"/>
      <w:jc w:val="left"/>
    </w:pPr>
  </w:style>
  <w:style w:type="paragraph" w:customStyle="1" w:styleId="JuParaLast">
    <w:name w:val="Ju_Para_Last"/>
    <w:basedOn w:val="Normale"/>
    <w:next w:val="ECHRPara"/>
    <w:uiPriority w:val="30"/>
    <w:qFormat/>
    <w:rsid w:val="00AF5649"/>
    <w:pPr>
      <w:keepNext/>
      <w:keepLines/>
      <w:spacing w:before="240"/>
      <w:ind w:firstLine="284"/>
    </w:pPr>
  </w:style>
  <w:style w:type="paragraph" w:customStyle="1" w:styleId="JuCase">
    <w:name w:val="Ju_Case"/>
    <w:basedOn w:val="Normale"/>
    <w:next w:val="ECHRPara"/>
    <w:uiPriority w:val="10"/>
    <w:rsid w:val="00AF5649"/>
    <w:pPr>
      <w:ind w:firstLine="284"/>
    </w:pPr>
    <w:rPr>
      <w:b/>
    </w:rPr>
  </w:style>
  <w:style w:type="paragraph" w:customStyle="1" w:styleId="JuList">
    <w:name w:val="Ju_List"/>
    <w:basedOn w:val="Normale"/>
    <w:uiPriority w:val="28"/>
    <w:qFormat/>
    <w:rsid w:val="00AF5649"/>
    <w:pPr>
      <w:ind w:left="340" w:hanging="340"/>
    </w:pPr>
  </w:style>
  <w:style w:type="character" w:customStyle="1" w:styleId="JuITMark">
    <w:name w:val="Ju_ITMark"/>
    <w:basedOn w:val="Carpredefinitoparagrafo"/>
    <w:uiPriority w:val="38"/>
    <w:qFormat/>
    <w:rsid w:val="00AF5649"/>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AF5649"/>
    <w:pPr>
      <w:ind w:left="346" w:firstLine="0"/>
    </w:pPr>
  </w:style>
  <w:style w:type="paragraph" w:customStyle="1" w:styleId="OpiTranslation">
    <w:name w:val="Opi_Translation"/>
    <w:basedOn w:val="Normale"/>
    <w:next w:val="OpiPara"/>
    <w:uiPriority w:val="40"/>
    <w:semiHidden/>
    <w:qFormat/>
    <w:rsid w:val="00AF5649"/>
    <w:pPr>
      <w:jc w:val="center"/>
      <w:outlineLvl w:val="0"/>
    </w:pPr>
    <w:rPr>
      <w:i/>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DecHTitle">
    <w:name w:val="Dec_H_Title"/>
    <w:basedOn w:val="ECHRTitleCentre1"/>
    <w:uiPriority w:val="7"/>
    <w:qFormat/>
    <w:rsid w:val="00AF5649"/>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JuCourt">
    <w:name w:val="Ju_Court"/>
    <w:basedOn w:val="Normale"/>
    <w:next w:val="Normale"/>
    <w:uiPriority w:val="16"/>
    <w:qFormat/>
    <w:rsid w:val="00AF5649"/>
    <w:pPr>
      <w:tabs>
        <w:tab w:val="left" w:pos="907"/>
        <w:tab w:val="left" w:pos="1701"/>
        <w:tab w:val="right" w:pos="7371"/>
      </w:tabs>
      <w:spacing w:before="240"/>
      <w:ind w:left="397" w:hanging="397"/>
      <w:jc w:val="left"/>
    </w:pPr>
    <w:rPr>
      <w:lang w:bidi="en-US"/>
    </w:rPr>
  </w:style>
  <w:style w:type="paragraph" w:styleId="Sottotitolo">
    <w:name w:val="Subtitle"/>
    <w:basedOn w:val="Normale"/>
    <w:next w:val="Normale"/>
    <w:link w:val="SottotitoloCarattere"/>
    <w:uiPriority w:val="99"/>
    <w:semiHidden/>
    <w:qFormat/>
    <w:rsid w:val="00AF5649"/>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AF5649"/>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DecList">
    <w:name w:val="Dec_List"/>
    <w:basedOn w:val="Normale"/>
    <w:uiPriority w:val="9"/>
    <w:qFormat/>
    <w:rsid w:val="00AF5649"/>
    <w:pPr>
      <w:spacing w:before="240"/>
      <w:ind w:left="284"/>
    </w:pPr>
  </w:style>
  <w:style w:type="paragraph" w:customStyle="1" w:styleId="JuListi">
    <w:name w:val="Ju_List_i"/>
    <w:basedOn w:val="Normale"/>
    <w:next w:val="JuLista"/>
    <w:uiPriority w:val="28"/>
    <w:qFormat/>
    <w:rsid w:val="00AF5649"/>
    <w:pPr>
      <w:ind w:left="794"/>
    </w:pPr>
  </w:style>
  <w:style w:type="paragraph" w:customStyle="1" w:styleId="OpiH1">
    <w:name w:val="Opi_H_1"/>
    <w:basedOn w:val="ECHRHeading2"/>
    <w:uiPriority w:val="42"/>
    <w:semiHidden/>
    <w:qFormat/>
    <w:rsid w:val="00AF5649"/>
    <w:pPr>
      <w:ind w:left="635" w:hanging="357"/>
      <w:outlineLvl w:val="2"/>
    </w:pPr>
  </w:style>
  <w:style w:type="paragraph" w:customStyle="1" w:styleId="OpiHa0">
    <w:name w:val="Opi_H_a"/>
    <w:basedOn w:val="ECHRHeading3"/>
    <w:uiPriority w:val="43"/>
    <w:semiHidden/>
    <w:qFormat/>
    <w:rsid w:val="00AF5649"/>
    <w:pPr>
      <w:ind w:left="833" w:hanging="357"/>
      <w:outlineLvl w:val="3"/>
    </w:pPr>
    <w:rPr>
      <w:b/>
      <w:i w:val="0"/>
      <w:sz w:val="20"/>
    </w:rPr>
  </w:style>
  <w:style w:type="paragraph" w:customStyle="1" w:styleId="OpiHi">
    <w:name w:val="Opi_H_i"/>
    <w:basedOn w:val="ECHRHeading4"/>
    <w:uiPriority w:val="44"/>
    <w:semiHidden/>
    <w:qFormat/>
    <w:rsid w:val="00AF5649"/>
    <w:pPr>
      <w:ind w:left="1037" w:hanging="357"/>
      <w:outlineLvl w:val="4"/>
    </w:pPr>
    <w:rPr>
      <w:b w:val="0"/>
      <w:i/>
    </w:rPr>
  </w:style>
  <w:style w:type="paragraph" w:customStyle="1" w:styleId="DummyStyle">
    <w:name w:val="Dummy_Style"/>
    <w:basedOn w:val="Normale"/>
    <w:semiHidden/>
    <w:qFormat/>
    <w:rsid w:val="00AF5649"/>
    <w:rPr>
      <w:color w:val="00B050"/>
      <w:lang w:bidi="en-US"/>
    </w:rPr>
  </w:style>
  <w:style w:type="character" w:customStyle="1" w:styleId="ECHRParaChar">
    <w:name w:val="ECHR_Para Char"/>
    <w:aliases w:val="Ju_Para Char"/>
    <w:link w:val="ECHRPara"/>
    <w:uiPriority w:val="12"/>
    <w:rsid w:val="009A4160"/>
    <w:rPr>
      <w:rFonts w:eastAsiaTheme="minorEastAsia"/>
      <w:sz w:val="24"/>
    </w:rPr>
  </w:style>
  <w:style w:type="character" w:customStyle="1" w:styleId="column01">
    <w:name w:val="column01"/>
    <w:basedOn w:val="Carpredefinitoparagrafo"/>
    <w:rsid w:val="00411BF9"/>
  </w:style>
  <w:style w:type="character" w:customStyle="1" w:styleId="column02">
    <w:name w:val="column02"/>
    <w:basedOn w:val="Carpredefinitoparagrafo"/>
    <w:rsid w:val="00411BF9"/>
  </w:style>
  <w:style w:type="character" w:customStyle="1" w:styleId="column03">
    <w:name w:val="column03"/>
    <w:basedOn w:val="Carpredefinitoparagrafo"/>
    <w:rsid w:val="00411BF9"/>
  </w:style>
  <w:style w:type="character" w:customStyle="1" w:styleId="column04">
    <w:name w:val="column04"/>
    <w:basedOn w:val="Carpredefinitoparagrafo"/>
    <w:rsid w:val="0041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423">
      <w:bodyDiv w:val="1"/>
      <w:marLeft w:val="0"/>
      <w:marRight w:val="0"/>
      <w:marTop w:val="0"/>
      <w:marBottom w:val="0"/>
      <w:divBdr>
        <w:top w:val="none" w:sz="0" w:space="0" w:color="auto"/>
        <w:left w:val="none" w:sz="0" w:space="0" w:color="auto"/>
        <w:bottom w:val="none" w:sz="0" w:space="0" w:color="auto"/>
        <w:right w:val="none" w:sz="0" w:space="0" w:color="auto"/>
      </w:divBdr>
      <w:divsChild>
        <w:div w:id="2072187892">
          <w:marLeft w:val="0"/>
          <w:marRight w:val="0"/>
          <w:marTop w:val="0"/>
          <w:marBottom w:val="0"/>
          <w:divBdr>
            <w:top w:val="none" w:sz="0" w:space="0" w:color="auto"/>
            <w:left w:val="none" w:sz="0" w:space="0" w:color="auto"/>
            <w:bottom w:val="none" w:sz="0" w:space="0" w:color="auto"/>
            <w:right w:val="none" w:sz="0" w:space="0" w:color="auto"/>
          </w:divBdr>
          <w:divsChild>
            <w:div w:id="1856261235">
              <w:marLeft w:val="0"/>
              <w:marRight w:val="0"/>
              <w:marTop w:val="0"/>
              <w:marBottom w:val="0"/>
              <w:divBdr>
                <w:top w:val="none" w:sz="0" w:space="0" w:color="auto"/>
                <w:left w:val="none" w:sz="0" w:space="0" w:color="auto"/>
                <w:bottom w:val="none" w:sz="0" w:space="0" w:color="auto"/>
                <w:right w:val="none" w:sz="0" w:space="0" w:color="auto"/>
              </w:divBdr>
              <w:divsChild>
                <w:div w:id="1879850395">
                  <w:marLeft w:val="0"/>
                  <w:marRight w:val="0"/>
                  <w:marTop w:val="0"/>
                  <w:marBottom w:val="0"/>
                  <w:divBdr>
                    <w:top w:val="none" w:sz="0" w:space="0" w:color="auto"/>
                    <w:left w:val="none" w:sz="0" w:space="0" w:color="auto"/>
                    <w:bottom w:val="none" w:sz="0" w:space="0" w:color="auto"/>
                    <w:right w:val="none" w:sz="0" w:space="0" w:color="auto"/>
                  </w:divBdr>
                  <w:divsChild>
                    <w:div w:id="515316958">
                      <w:marLeft w:val="0"/>
                      <w:marRight w:val="0"/>
                      <w:marTop w:val="0"/>
                      <w:marBottom w:val="0"/>
                      <w:divBdr>
                        <w:top w:val="none" w:sz="0" w:space="0" w:color="auto"/>
                        <w:left w:val="none" w:sz="0" w:space="0" w:color="auto"/>
                        <w:bottom w:val="none" w:sz="0" w:space="0" w:color="auto"/>
                        <w:right w:val="none" w:sz="0" w:space="0" w:color="auto"/>
                      </w:divBdr>
                      <w:divsChild>
                        <w:div w:id="1097363064">
                          <w:marLeft w:val="0"/>
                          <w:marRight w:val="0"/>
                          <w:marTop w:val="0"/>
                          <w:marBottom w:val="0"/>
                          <w:divBdr>
                            <w:top w:val="none" w:sz="0" w:space="0" w:color="auto"/>
                            <w:left w:val="none" w:sz="0" w:space="0" w:color="auto"/>
                            <w:bottom w:val="none" w:sz="0" w:space="0" w:color="auto"/>
                            <w:right w:val="none" w:sz="0" w:space="0" w:color="auto"/>
                          </w:divBdr>
                          <w:divsChild>
                            <w:div w:id="16304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2104">
      <w:bodyDiv w:val="1"/>
      <w:marLeft w:val="0"/>
      <w:marRight w:val="0"/>
      <w:marTop w:val="0"/>
      <w:marBottom w:val="0"/>
      <w:divBdr>
        <w:top w:val="none" w:sz="0" w:space="0" w:color="auto"/>
        <w:left w:val="none" w:sz="0" w:space="0" w:color="auto"/>
        <w:bottom w:val="none" w:sz="0" w:space="0" w:color="auto"/>
        <w:right w:val="none" w:sz="0" w:space="0" w:color="auto"/>
      </w:divBdr>
      <w:divsChild>
        <w:div w:id="1140346309">
          <w:marLeft w:val="0"/>
          <w:marRight w:val="0"/>
          <w:marTop w:val="0"/>
          <w:marBottom w:val="0"/>
          <w:divBdr>
            <w:top w:val="none" w:sz="0" w:space="0" w:color="auto"/>
            <w:left w:val="none" w:sz="0" w:space="0" w:color="auto"/>
            <w:bottom w:val="none" w:sz="0" w:space="0" w:color="auto"/>
            <w:right w:val="none" w:sz="0" w:space="0" w:color="auto"/>
          </w:divBdr>
          <w:divsChild>
            <w:div w:id="188690534">
              <w:marLeft w:val="0"/>
              <w:marRight w:val="0"/>
              <w:marTop w:val="0"/>
              <w:marBottom w:val="0"/>
              <w:divBdr>
                <w:top w:val="none" w:sz="0" w:space="0" w:color="auto"/>
                <w:left w:val="none" w:sz="0" w:space="0" w:color="auto"/>
                <w:bottom w:val="none" w:sz="0" w:space="0" w:color="auto"/>
                <w:right w:val="none" w:sz="0" w:space="0" w:color="auto"/>
              </w:divBdr>
              <w:divsChild>
                <w:div w:id="660812413">
                  <w:marLeft w:val="0"/>
                  <w:marRight w:val="0"/>
                  <w:marTop w:val="0"/>
                  <w:marBottom w:val="300"/>
                  <w:divBdr>
                    <w:top w:val="none" w:sz="0" w:space="0" w:color="auto"/>
                    <w:left w:val="none" w:sz="0" w:space="0" w:color="auto"/>
                    <w:bottom w:val="none" w:sz="0" w:space="0" w:color="auto"/>
                    <w:right w:val="none" w:sz="0" w:space="0" w:color="auto"/>
                  </w:divBdr>
                  <w:divsChild>
                    <w:div w:id="1471249651">
                      <w:marLeft w:val="0"/>
                      <w:marRight w:val="0"/>
                      <w:marTop w:val="0"/>
                      <w:marBottom w:val="0"/>
                      <w:divBdr>
                        <w:top w:val="none" w:sz="0" w:space="0" w:color="auto"/>
                        <w:left w:val="none" w:sz="0" w:space="0" w:color="auto"/>
                        <w:bottom w:val="none" w:sz="0" w:space="0" w:color="auto"/>
                        <w:right w:val="none" w:sz="0" w:space="0" w:color="auto"/>
                      </w:divBdr>
                      <w:divsChild>
                        <w:div w:id="410860259">
                          <w:marLeft w:val="0"/>
                          <w:marRight w:val="0"/>
                          <w:marTop w:val="0"/>
                          <w:marBottom w:val="0"/>
                          <w:divBdr>
                            <w:top w:val="none" w:sz="0" w:space="0" w:color="auto"/>
                            <w:left w:val="none" w:sz="0" w:space="0" w:color="auto"/>
                            <w:bottom w:val="none" w:sz="0" w:space="0" w:color="auto"/>
                            <w:right w:val="none" w:sz="0" w:space="0" w:color="auto"/>
                          </w:divBdr>
                        </w:div>
                        <w:div w:id="513233072">
                          <w:marLeft w:val="0"/>
                          <w:marRight w:val="0"/>
                          <w:marTop w:val="0"/>
                          <w:marBottom w:val="0"/>
                          <w:divBdr>
                            <w:top w:val="none" w:sz="0" w:space="0" w:color="auto"/>
                            <w:left w:val="none" w:sz="0" w:space="0" w:color="auto"/>
                            <w:bottom w:val="none" w:sz="0" w:space="0" w:color="auto"/>
                            <w:right w:val="none" w:sz="0" w:space="0" w:color="auto"/>
                          </w:divBdr>
                        </w:div>
                        <w:div w:id="2361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69506">
      <w:bodyDiv w:val="1"/>
      <w:marLeft w:val="0"/>
      <w:marRight w:val="0"/>
      <w:marTop w:val="0"/>
      <w:marBottom w:val="0"/>
      <w:divBdr>
        <w:top w:val="none" w:sz="0" w:space="0" w:color="auto"/>
        <w:left w:val="none" w:sz="0" w:space="0" w:color="auto"/>
        <w:bottom w:val="none" w:sz="0" w:space="0" w:color="auto"/>
        <w:right w:val="none" w:sz="0" w:space="0" w:color="auto"/>
      </w:divBdr>
      <w:divsChild>
        <w:div w:id="1602759684">
          <w:marLeft w:val="0"/>
          <w:marRight w:val="0"/>
          <w:marTop w:val="0"/>
          <w:marBottom w:val="0"/>
          <w:divBdr>
            <w:top w:val="none" w:sz="0" w:space="0" w:color="auto"/>
            <w:left w:val="none" w:sz="0" w:space="0" w:color="auto"/>
            <w:bottom w:val="none" w:sz="0" w:space="0" w:color="auto"/>
            <w:right w:val="none" w:sz="0" w:space="0" w:color="auto"/>
          </w:divBdr>
          <w:divsChild>
            <w:div w:id="136531662">
              <w:marLeft w:val="0"/>
              <w:marRight w:val="0"/>
              <w:marTop w:val="0"/>
              <w:marBottom w:val="0"/>
              <w:divBdr>
                <w:top w:val="none" w:sz="0" w:space="0" w:color="auto"/>
                <w:left w:val="none" w:sz="0" w:space="0" w:color="auto"/>
                <w:bottom w:val="none" w:sz="0" w:space="0" w:color="auto"/>
                <w:right w:val="none" w:sz="0" w:space="0" w:color="auto"/>
              </w:divBdr>
              <w:divsChild>
                <w:div w:id="1297490710">
                  <w:marLeft w:val="0"/>
                  <w:marRight w:val="0"/>
                  <w:marTop w:val="0"/>
                  <w:marBottom w:val="0"/>
                  <w:divBdr>
                    <w:top w:val="none" w:sz="0" w:space="0" w:color="auto"/>
                    <w:left w:val="none" w:sz="0" w:space="0" w:color="auto"/>
                    <w:bottom w:val="none" w:sz="0" w:space="0" w:color="auto"/>
                    <w:right w:val="none" w:sz="0" w:space="0" w:color="auto"/>
                  </w:divBdr>
                  <w:divsChild>
                    <w:div w:id="1875459552">
                      <w:marLeft w:val="0"/>
                      <w:marRight w:val="0"/>
                      <w:marTop w:val="0"/>
                      <w:marBottom w:val="0"/>
                      <w:divBdr>
                        <w:top w:val="none" w:sz="0" w:space="0" w:color="auto"/>
                        <w:left w:val="none" w:sz="0" w:space="0" w:color="auto"/>
                        <w:bottom w:val="none" w:sz="0" w:space="0" w:color="auto"/>
                        <w:right w:val="none" w:sz="0" w:space="0" w:color="auto"/>
                      </w:divBdr>
                      <w:divsChild>
                        <w:div w:id="1490174336">
                          <w:marLeft w:val="0"/>
                          <w:marRight w:val="0"/>
                          <w:marTop w:val="0"/>
                          <w:marBottom w:val="0"/>
                          <w:divBdr>
                            <w:top w:val="none" w:sz="0" w:space="0" w:color="auto"/>
                            <w:left w:val="none" w:sz="0" w:space="0" w:color="auto"/>
                            <w:bottom w:val="none" w:sz="0" w:space="0" w:color="auto"/>
                            <w:right w:val="none" w:sz="0" w:space="0" w:color="auto"/>
                          </w:divBdr>
                          <w:divsChild>
                            <w:div w:id="7576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3619">
      <w:bodyDiv w:val="1"/>
      <w:marLeft w:val="0"/>
      <w:marRight w:val="0"/>
      <w:marTop w:val="0"/>
      <w:marBottom w:val="0"/>
      <w:divBdr>
        <w:top w:val="none" w:sz="0" w:space="0" w:color="auto"/>
        <w:left w:val="none" w:sz="0" w:space="0" w:color="auto"/>
        <w:bottom w:val="none" w:sz="0" w:space="0" w:color="auto"/>
        <w:right w:val="none" w:sz="0" w:space="0" w:color="auto"/>
      </w:divBdr>
      <w:divsChild>
        <w:div w:id="364645318">
          <w:marLeft w:val="0"/>
          <w:marRight w:val="0"/>
          <w:marTop w:val="0"/>
          <w:marBottom w:val="0"/>
          <w:divBdr>
            <w:top w:val="none" w:sz="0" w:space="0" w:color="auto"/>
            <w:left w:val="none" w:sz="0" w:space="0" w:color="auto"/>
            <w:bottom w:val="none" w:sz="0" w:space="0" w:color="auto"/>
            <w:right w:val="none" w:sz="0" w:space="0" w:color="auto"/>
          </w:divBdr>
          <w:divsChild>
            <w:div w:id="348876405">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auto"/>
                    <w:left w:val="none" w:sz="0" w:space="0" w:color="auto"/>
                    <w:bottom w:val="none" w:sz="0" w:space="0" w:color="auto"/>
                    <w:right w:val="none" w:sz="0" w:space="0" w:color="auto"/>
                  </w:divBdr>
                  <w:divsChild>
                    <w:div w:id="1809584932">
                      <w:marLeft w:val="0"/>
                      <w:marRight w:val="0"/>
                      <w:marTop w:val="0"/>
                      <w:marBottom w:val="0"/>
                      <w:divBdr>
                        <w:top w:val="none" w:sz="0" w:space="0" w:color="auto"/>
                        <w:left w:val="none" w:sz="0" w:space="0" w:color="auto"/>
                        <w:bottom w:val="none" w:sz="0" w:space="0" w:color="auto"/>
                        <w:right w:val="none" w:sz="0" w:space="0" w:color="auto"/>
                      </w:divBdr>
                      <w:divsChild>
                        <w:div w:id="1553613231">
                          <w:marLeft w:val="0"/>
                          <w:marRight w:val="0"/>
                          <w:marTop w:val="0"/>
                          <w:marBottom w:val="0"/>
                          <w:divBdr>
                            <w:top w:val="none" w:sz="0" w:space="0" w:color="auto"/>
                            <w:left w:val="none" w:sz="0" w:space="0" w:color="auto"/>
                            <w:bottom w:val="none" w:sz="0" w:space="0" w:color="auto"/>
                            <w:right w:val="none" w:sz="0" w:space="0" w:color="auto"/>
                          </w:divBdr>
                          <w:divsChild>
                            <w:div w:id="1324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0935">
      <w:bodyDiv w:val="1"/>
      <w:marLeft w:val="0"/>
      <w:marRight w:val="0"/>
      <w:marTop w:val="0"/>
      <w:marBottom w:val="0"/>
      <w:divBdr>
        <w:top w:val="none" w:sz="0" w:space="0" w:color="auto"/>
        <w:left w:val="none" w:sz="0" w:space="0" w:color="auto"/>
        <w:bottom w:val="none" w:sz="0" w:space="0" w:color="auto"/>
        <w:right w:val="none" w:sz="0" w:space="0" w:color="auto"/>
      </w:divBdr>
      <w:divsChild>
        <w:div w:id="1602057786">
          <w:marLeft w:val="0"/>
          <w:marRight w:val="0"/>
          <w:marTop w:val="0"/>
          <w:marBottom w:val="0"/>
          <w:divBdr>
            <w:top w:val="none" w:sz="0" w:space="0" w:color="auto"/>
            <w:left w:val="none" w:sz="0" w:space="0" w:color="auto"/>
            <w:bottom w:val="none" w:sz="0" w:space="0" w:color="auto"/>
            <w:right w:val="none" w:sz="0" w:space="0" w:color="auto"/>
          </w:divBdr>
          <w:divsChild>
            <w:div w:id="2089888119">
              <w:marLeft w:val="0"/>
              <w:marRight w:val="0"/>
              <w:marTop w:val="0"/>
              <w:marBottom w:val="0"/>
              <w:divBdr>
                <w:top w:val="none" w:sz="0" w:space="0" w:color="auto"/>
                <w:left w:val="none" w:sz="0" w:space="0" w:color="auto"/>
                <w:bottom w:val="none" w:sz="0" w:space="0" w:color="auto"/>
                <w:right w:val="none" w:sz="0" w:space="0" w:color="auto"/>
              </w:divBdr>
              <w:divsChild>
                <w:div w:id="541484342">
                  <w:marLeft w:val="0"/>
                  <w:marRight w:val="0"/>
                  <w:marTop w:val="0"/>
                  <w:marBottom w:val="0"/>
                  <w:divBdr>
                    <w:top w:val="none" w:sz="0" w:space="0" w:color="auto"/>
                    <w:left w:val="none" w:sz="0" w:space="0" w:color="auto"/>
                    <w:bottom w:val="none" w:sz="0" w:space="0" w:color="auto"/>
                    <w:right w:val="none" w:sz="0" w:space="0" w:color="auto"/>
                  </w:divBdr>
                  <w:divsChild>
                    <w:div w:id="1288005553">
                      <w:marLeft w:val="0"/>
                      <w:marRight w:val="0"/>
                      <w:marTop w:val="0"/>
                      <w:marBottom w:val="0"/>
                      <w:divBdr>
                        <w:top w:val="none" w:sz="0" w:space="0" w:color="auto"/>
                        <w:left w:val="none" w:sz="0" w:space="0" w:color="auto"/>
                        <w:bottom w:val="none" w:sz="0" w:space="0" w:color="auto"/>
                        <w:right w:val="none" w:sz="0" w:space="0" w:color="auto"/>
                      </w:divBdr>
                      <w:divsChild>
                        <w:div w:id="1035539292">
                          <w:marLeft w:val="0"/>
                          <w:marRight w:val="0"/>
                          <w:marTop w:val="0"/>
                          <w:marBottom w:val="0"/>
                          <w:divBdr>
                            <w:top w:val="none" w:sz="0" w:space="0" w:color="auto"/>
                            <w:left w:val="none" w:sz="0" w:space="0" w:color="auto"/>
                            <w:bottom w:val="none" w:sz="0" w:space="0" w:color="auto"/>
                            <w:right w:val="none" w:sz="0" w:space="0" w:color="auto"/>
                          </w:divBdr>
                          <w:divsChild>
                            <w:div w:id="18912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7336">
      <w:bodyDiv w:val="1"/>
      <w:marLeft w:val="0"/>
      <w:marRight w:val="0"/>
      <w:marTop w:val="0"/>
      <w:marBottom w:val="0"/>
      <w:divBdr>
        <w:top w:val="none" w:sz="0" w:space="0" w:color="auto"/>
        <w:left w:val="none" w:sz="0" w:space="0" w:color="auto"/>
        <w:bottom w:val="none" w:sz="0" w:space="0" w:color="auto"/>
        <w:right w:val="none" w:sz="0" w:space="0" w:color="auto"/>
      </w:divBdr>
      <w:divsChild>
        <w:div w:id="651255656">
          <w:marLeft w:val="0"/>
          <w:marRight w:val="0"/>
          <w:marTop w:val="0"/>
          <w:marBottom w:val="0"/>
          <w:divBdr>
            <w:top w:val="none" w:sz="0" w:space="0" w:color="auto"/>
            <w:left w:val="none" w:sz="0" w:space="0" w:color="auto"/>
            <w:bottom w:val="none" w:sz="0" w:space="0" w:color="auto"/>
            <w:right w:val="none" w:sz="0" w:space="0" w:color="auto"/>
          </w:divBdr>
          <w:divsChild>
            <w:div w:id="328213961">
              <w:marLeft w:val="0"/>
              <w:marRight w:val="0"/>
              <w:marTop w:val="0"/>
              <w:marBottom w:val="0"/>
              <w:divBdr>
                <w:top w:val="none" w:sz="0" w:space="0" w:color="auto"/>
                <w:left w:val="none" w:sz="0" w:space="0" w:color="auto"/>
                <w:bottom w:val="none" w:sz="0" w:space="0" w:color="auto"/>
                <w:right w:val="none" w:sz="0" w:space="0" w:color="auto"/>
              </w:divBdr>
              <w:divsChild>
                <w:div w:id="336078561">
                  <w:marLeft w:val="0"/>
                  <w:marRight w:val="0"/>
                  <w:marTop w:val="0"/>
                  <w:marBottom w:val="0"/>
                  <w:divBdr>
                    <w:top w:val="none" w:sz="0" w:space="0" w:color="auto"/>
                    <w:left w:val="none" w:sz="0" w:space="0" w:color="auto"/>
                    <w:bottom w:val="none" w:sz="0" w:space="0" w:color="auto"/>
                    <w:right w:val="none" w:sz="0" w:space="0" w:color="auto"/>
                  </w:divBdr>
                  <w:divsChild>
                    <w:div w:id="144513413">
                      <w:marLeft w:val="0"/>
                      <w:marRight w:val="0"/>
                      <w:marTop w:val="0"/>
                      <w:marBottom w:val="0"/>
                      <w:divBdr>
                        <w:top w:val="none" w:sz="0" w:space="0" w:color="auto"/>
                        <w:left w:val="none" w:sz="0" w:space="0" w:color="auto"/>
                        <w:bottom w:val="none" w:sz="0" w:space="0" w:color="auto"/>
                        <w:right w:val="none" w:sz="0" w:space="0" w:color="auto"/>
                      </w:divBdr>
                      <w:divsChild>
                        <w:div w:id="50541698">
                          <w:marLeft w:val="0"/>
                          <w:marRight w:val="0"/>
                          <w:marTop w:val="0"/>
                          <w:marBottom w:val="0"/>
                          <w:divBdr>
                            <w:top w:val="none" w:sz="0" w:space="0" w:color="auto"/>
                            <w:left w:val="none" w:sz="0" w:space="0" w:color="auto"/>
                            <w:bottom w:val="none" w:sz="0" w:space="0" w:color="auto"/>
                            <w:right w:val="none" w:sz="0" w:space="0" w:color="auto"/>
                          </w:divBdr>
                          <w:divsChild>
                            <w:div w:id="1375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86344">
      <w:bodyDiv w:val="1"/>
      <w:marLeft w:val="0"/>
      <w:marRight w:val="0"/>
      <w:marTop w:val="0"/>
      <w:marBottom w:val="0"/>
      <w:divBdr>
        <w:top w:val="none" w:sz="0" w:space="0" w:color="auto"/>
        <w:left w:val="none" w:sz="0" w:space="0" w:color="auto"/>
        <w:bottom w:val="none" w:sz="0" w:space="0" w:color="auto"/>
        <w:right w:val="none" w:sz="0" w:space="0" w:color="auto"/>
      </w:divBdr>
      <w:divsChild>
        <w:div w:id="795023133">
          <w:marLeft w:val="0"/>
          <w:marRight w:val="0"/>
          <w:marTop w:val="0"/>
          <w:marBottom w:val="0"/>
          <w:divBdr>
            <w:top w:val="none" w:sz="0" w:space="0" w:color="auto"/>
            <w:left w:val="none" w:sz="0" w:space="0" w:color="auto"/>
            <w:bottom w:val="none" w:sz="0" w:space="0" w:color="auto"/>
            <w:right w:val="none" w:sz="0" w:space="0" w:color="auto"/>
          </w:divBdr>
          <w:divsChild>
            <w:div w:id="225259998">
              <w:marLeft w:val="0"/>
              <w:marRight w:val="0"/>
              <w:marTop w:val="0"/>
              <w:marBottom w:val="0"/>
              <w:divBdr>
                <w:top w:val="none" w:sz="0" w:space="0" w:color="auto"/>
                <w:left w:val="none" w:sz="0" w:space="0" w:color="auto"/>
                <w:bottom w:val="none" w:sz="0" w:space="0" w:color="auto"/>
                <w:right w:val="none" w:sz="0" w:space="0" w:color="auto"/>
              </w:divBdr>
              <w:divsChild>
                <w:div w:id="31227526">
                  <w:marLeft w:val="0"/>
                  <w:marRight w:val="0"/>
                  <w:marTop w:val="0"/>
                  <w:marBottom w:val="0"/>
                  <w:divBdr>
                    <w:top w:val="none" w:sz="0" w:space="0" w:color="auto"/>
                    <w:left w:val="none" w:sz="0" w:space="0" w:color="auto"/>
                    <w:bottom w:val="none" w:sz="0" w:space="0" w:color="auto"/>
                    <w:right w:val="none" w:sz="0" w:space="0" w:color="auto"/>
                  </w:divBdr>
                  <w:divsChild>
                    <w:div w:id="930894337">
                      <w:marLeft w:val="0"/>
                      <w:marRight w:val="0"/>
                      <w:marTop w:val="0"/>
                      <w:marBottom w:val="0"/>
                      <w:divBdr>
                        <w:top w:val="none" w:sz="0" w:space="0" w:color="auto"/>
                        <w:left w:val="none" w:sz="0" w:space="0" w:color="auto"/>
                        <w:bottom w:val="none" w:sz="0" w:space="0" w:color="auto"/>
                        <w:right w:val="none" w:sz="0" w:space="0" w:color="auto"/>
                      </w:divBdr>
                      <w:divsChild>
                        <w:div w:id="600996450">
                          <w:marLeft w:val="0"/>
                          <w:marRight w:val="0"/>
                          <w:marTop w:val="0"/>
                          <w:marBottom w:val="0"/>
                          <w:divBdr>
                            <w:top w:val="none" w:sz="0" w:space="0" w:color="auto"/>
                            <w:left w:val="none" w:sz="0" w:space="0" w:color="auto"/>
                            <w:bottom w:val="none" w:sz="0" w:space="0" w:color="auto"/>
                            <w:right w:val="none" w:sz="0" w:space="0" w:color="auto"/>
                          </w:divBdr>
                          <w:divsChild>
                            <w:div w:id="447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41023">
      <w:bodyDiv w:val="1"/>
      <w:marLeft w:val="0"/>
      <w:marRight w:val="0"/>
      <w:marTop w:val="0"/>
      <w:marBottom w:val="0"/>
      <w:divBdr>
        <w:top w:val="none" w:sz="0" w:space="0" w:color="auto"/>
        <w:left w:val="none" w:sz="0" w:space="0" w:color="auto"/>
        <w:bottom w:val="none" w:sz="0" w:space="0" w:color="auto"/>
        <w:right w:val="none" w:sz="0" w:space="0" w:color="auto"/>
      </w:divBdr>
      <w:divsChild>
        <w:div w:id="1208369972">
          <w:marLeft w:val="0"/>
          <w:marRight w:val="0"/>
          <w:marTop w:val="0"/>
          <w:marBottom w:val="0"/>
          <w:divBdr>
            <w:top w:val="none" w:sz="0" w:space="0" w:color="auto"/>
            <w:left w:val="none" w:sz="0" w:space="0" w:color="auto"/>
            <w:bottom w:val="none" w:sz="0" w:space="0" w:color="auto"/>
            <w:right w:val="none" w:sz="0" w:space="0" w:color="auto"/>
          </w:divBdr>
          <w:divsChild>
            <w:div w:id="588270986">
              <w:marLeft w:val="0"/>
              <w:marRight w:val="0"/>
              <w:marTop w:val="0"/>
              <w:marBottom w:val="0"/>
              <w:divBdr>
                <w:top w:val="none" w:sz="0" w:space="0" w:color="auto"/>
                <w:left w:val="none" w:sz="0" w:space="0" w:color="auto"/>
                <w:bottom w:val="none" w:sz="0" w:space="0" w:color="auto"/>
                <w:right w:val="none" w:sz="0" w:space="0" w:color="auto"/>
              </w:divBdr>
              <w:divsChild>
                <w:div w:id="1875313725">
                  <w:marLeft w:val="0"/>
                  <w:marRight w:val="0"/>
                  <w:marTop w:val="0"/>
                  <w:marBottom w:val="0"/>
                  <w:divBdr>
                    <w:top w:val="none" w:sz="0" w:space="0" w:color="auto"/>
                    <w:left w:val="none" w:sz="0" w:space="0" w:color="auto"/>
                    <w:bottom w:val="none" w:sz="0" w:space="0" w:color="auto"/>
                    <w:right w:val="none" w:sz="0" w:space="0" w:color="auto"/>
                  </w:divBdr>
                  <w:divsChild>
                    <w:div w:id="1743867088">
                      <w:marLeft w:val="0"/>
                      <w:marRight w:val="0"/>
                      <w:marTop w:val="0"/>
                      <w:marBottom w:val="0"/>
                      <w:divBdr>
                        <w:top w:val="none" w:sz="0" w:space="0" w:color="auto"/>
                        <w:left w:val="none" w:sz="0" w:space="0" w:color="auto"/>
                        <w:bottom w:val="none" w:sz="0" w:space="0" w:color="auto"/>
                        <w:right w:val="none" w:sz="0" w:space="0" w:color="auto"/>
                      </w:divBdr>
                      <w:divsChild>
                        <w:div w:id="454714598">
                          <w:marLeft w:val="0"/>
                          <w:marRight w:val="0"/>
                          <w:marTop w:val="0"/>
                          <w:marBottom w:val="0"/>
                          <w:divBdr>
                            <w:top w:val="none" w:sz="0" w:space="0" w:color="auto"/>
                            <w:left w:val="none" w:sz="0" w:space="0" w:color="auto"/>
                            <w:bottom w:val="none" w:sz="0" w:space="0" w:color="auto"/>
                            <w:right w:val="none" w:sz="0" w:space="0" w:color="auto"/>
                          </w:divBdr>
                          <w:divsChild>
                            <w:div w:id="386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15477">
      <w:bodyDiv w:val="1"/>
      <w:marLeft w:val="0"/>
      <w:marRight w:val="0"/>
      <w:marTop w:val="0"/>
      <w:marBottom w:val="0"/>
      <w:divBdr>
        <w:top w:val="none" w:sz="0" w:space="0" w:color="auto"/>
        <w:left w:val="none" w:sz="0" w:space="0" w:color="auto"/>
        <w:bottom w:val="none" w:sz="0" w:space="0" w:color="auto"/>
        <w:right w:val="none" w:sz="0" w:space="0" w:color="auto"/>
      </w:divBdr>
    </w:div>
    <w:div w:id="1172570862">
      <w:bodyDiv w:val="1"/>
      <w:marLeft w:val="0"/>
      <w:marRight w:val="0"/>
      <w:marTop w:val="0"/>
      <w:marBottom w:val="0"/>
      <w:divBdr>
        <w:top w:val="none" w:sz="0" w:space="0" w:color="auto"/>
        <w:left w:val="none" w:sz="0" w:space="0" w:color="auto"/>
        <w:bottom w:val="none" w:sz="0" w:space="0" w:color="auto"/>
        <w:right w:val="none" w:sz="0" w:space="0" w:color="auto"/>
      </w:divBdr>
      <w:divsChild>
        <w:div w:id="1489708763">
          <w:marLeft w:val="0"/>
          <w:marRight w:val="0"/>
          <w:marTop w:val="0"/>
          <w:marBottom w:val="0"/>
          <w:divBdr>
            <w:top w:val="none" w:sz="0" w:space="0" w:color="auto"/>
            <w:left w:val="none" w:sz="0" w:space="0" w:color="auto"/>
            <w:bottom w:val="none" w:sz="0" w:space="0" w:color="auto"/>
            <w:right w:val="none" w:sz="0" w:space="0" w:color="auto"/>
          </w:divBdr>
          <w:divsChild>
            <w:div w:id="76485279">
              <w:marLeft w:val="0"/>
              <w:marRight w:val="0"/>
              <w:marTop w:val="0"/>
              <w:marBottom w:val="0"/>
              <w:divBdr>
                <w:top w:val="none" w:sz="0" w:space="0" w:color="auto"/>
                <w:left w:val="none" w:sz="0" w:space="0" w:color="auto"/>
                <w:bottom w:val="none" w:sz="0" w:space="0" w:color="auto"/>
                <w:right w:val="none" w:sz="0" w:space="0" w:color="auto"/>
              </w:divBdr>
              <w:divsChild>
                <w:div w:id="1891378405">
                  <w:marLeft w:val="0"/>
                  <w:marRight w:val="0"/>
                  <w:marTop w:val="0"/>
                  <w:marBottom w:val="0"/>
                  <w:divBdr>
                    <w:top w:val="none" w:sz="0" w:space="0" w:color="auto"/>
                    <w:left w:val="none" w:sz="0" w:space="0" w:color="auto"/>
                    <w:bottom w:val="none" w:sz="0" w:space="0" w:color="auto"/>
                    <w:right w:val="none" w:sz="0" w:space="0" w:color="auto"/>
                  </w:divBdr>
                  <w:divsChild>
                    <w:div w:id="687020570">
                      <w:marLeft w:val="0"/>
                      <w:marRight w:val="0"/>
                      <w:marTop w:val="0"/>
                      <w:marBottom w:val="0"/>
                      <w:divBdr>
                        <w:top w:val="none" w:sz="0" w:space="0" w:color="auto"/>
                        <w:left w:val="none" w:sz="0" w:space="0" w:color="auto"/>
                        <w:bottom w:val="none" w:sz="0" w:space="0" w:color="auto"/>
                        <w:right w:val="none" w:sz="0" w:space="0" w:color="auto"/>
                      </w:divBdr>
                      <w:divsChild>
                        <w:div w:id="560678948">
                          <w:marLeft w:val="0"/>
                          <w:marRight w:val="0"/>
                          <w:marTop w:val="0"/>
                          <w:marBottom w:val="0"/>
                          <w:divBdr>
                            <w:top w:val="none" w:sz="0" w:space="0" w:color="auto"/>
                            <w:left w:val="none" w:sz="0" w:space="0" w:color="auto"/>
                            <w:bottom w:val="none" w:sz="0" w:space="0" w:color="auto"/>
                            <w:right w:val="none" w:sz="0" w:space="0" w:color="auto"/>
                          </w:divBdr>
                          <w:divsChild>
                            <w:div w:id="15526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22778">
      <w:bodyDiv w:val="1"/>
      <w:marLeft w:val="0"/>
      <w:marRight w:val="0"/>
      <w:marTop w:val="0"/>
      <w:marBottom w:val="0"/>
      <w:divBdr>
        <w:top w:val="none" w:sz="0" w:space="0" w:color="auto"/>
        <w:left w:val="none" w:sz="0" w:space="0" w:color="auto"/>
        <w:bottom w:val="none" w:sz="0" w:space="0" w:color="auto"/>
        <w:right w:val="none" w:sz="0" w:space="0" w:color="auto"/>
      </w:divBdr>
      <w:divsChild>
        <w:div w:id="1152327484">
          <w:marLeft w:val="0"/>
          <w:marRight w:val="0"/>
          <w:marTop w:val="0"/>
          <w:marBottom w:val="0"/>
          <w:divBdr>
            <w:top w:val="none" w:sz="0" w:space="0" w:color="auto"/>
            <w:left w:val="none" w:sz="0" w:space="0" w:color="auto"/>
            <w:bottom w:val="none" w:sz="0" w:space="0" w:color="auto"/>
            <w:right w:val="none" w:sz="0" w:space="0" w:color="auto"/>
          </w:divBdr>
          <w:divsChild>
            <w:div w:id="70396372">
              <w:marLeft w:val="0"/>
              <w:marRight w:val="0"/>
              <w:marTop w:val="0"/>
              <w:marBottom w:val="0"/>
              <w:divBdr>
                <w:top w:val="none" w:sz="0" w:space="0" w:color="auto"/>
                <w:left w:val="none" w:sz="0" w:space="0" w:color="auto"/>
                <w:bottom w:val="none" w:sz="0" w:space="0" w:color="auto"/>
                <w:right w:val="none" w:sz="0" w:space="0" w:color="auto"/>
              </w:divBdr>
              <w:divsChild>
                <w:div w:id="1779449323">
                  <w:marLeft w:val="0"/>
                  <w:marRight w:val="0"/>
                  <w:marTop w:val="0"/>
                  <w:marBottom w:val="0"/>
                  <w:divBdr>
                    <w:top w:val="none" w:sz="0" w:space="0" w:color="auto"/>
                    <w:left w:val="none" w:sz="0" w:space="0" w:color="auto"/>
                    <w:bottom w:val="none" w:sz="0" w:space="0" w:color="auto"/>
                    <w:right w:val="none" w:sz="0" w:space="0" w:color="auto"/>
                  </w:divBdr>
                  <w:divsChild>
                    <w:div w:id="1663969502">
                      <w:marLeft w:val="0"/>
                      <w:marRight w:val="0"/>
                      <w:marTop w:val="0"/>
                      <w:marBottom w:val="0"/>
                      <w:divBdr>
                        <w:top w:val="none" w:sz="0" w:space="0" w:color="auto"/>
                        <w:left w:val="none" w:sz="0" w:space="0" w:color="auto"/>
                        <w:bottom w:val="none" w:sz="0" w:space="0" w:color="auto"/>
                        <w:right w:val="none" w:sz="0" w:space="0" w:color="auto"/>
                      </w:divBdr>
                      <w:divsChild>
                        <w:div w:id="1982734497">
                          <w:marLeft w:val="0"/>
                          <w:marRight w:val="0"/>
                          <w:marTop w:val="0"/>
                          <w:marBottom w:val="0"/>
                          <w:divBdr>
                            <w:top w:val="none" w:sz="0" w:space="0" w:color="auto"/>
                            <w:left w:val="none" w:sz="0" w:space="0" w:color="auto"/>
                            <w:bottom w:val="none" w:sz="0" w:space="0" w:color="auto"/>
                            <w:right w:val="none" w:sz="0" w:space="0" w:color="auto"/>
                          </w:divBdr>
                          <w:divsChild>
                            <w:div w:id="985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25899">
      <w:bodyDiv w:val="1"/>
      <w:marLeft w:val="0"/>
      <w:marRight w:val="0"/>
      <w:marTop w:val="0"/>
      <w:marBottom w:val="0"/>
      <w:divBdr>
        <w:top w:val="none" w:sz="0" w:space="0" w:color="auto"/>
        <w:left w:val="none" w:sz="0" w:space="0" w:color="auto"/>
        <w:bottom w:val="none" w:sz="0" w:space="0" w:color="auto"/>
        <w:right w:val="none" w:sz="0" w:space="0" w:color="auto"/>
      </w:divBdr>
    </w:div>
    <w:div w:id="1535464819">
      <w:bodyDiv w:val="1"/>
      <w:marLeft w:val="0"/>
      <w:marRight w:val="0"/>
      <w:marTop w:val="0"/>
      <w:marBottom w:val="0"/>
      <w:divBdr>
        <w:top w:val="none" w:sz="0" w:space="0" w:color="auto"/>
        <w:left w:val="none" w:sz="0" w:space="0" w:color="auto"/>
        <w:bottom w:val="none" w:sz="0" w:space="0" w:color="auto"/>
        <w:right w:val="none" w:sz="0" w:space="0" w:color="auto"/>
      </w:divBdr>
      <w:divsChild>
        <w:div w:id="1926303277">
          <w:marLeft w:val="0"/>
          <w:marRight w:val="0"/>
          <w:marTop w:val="0"/>
          <w:marBottom w:val="0"/>
          <w:divBdr>
            <w:top w:val="none" w:sz="0" w:space="0" w:color="auto"/>
            <w:left w:val="none" w:sz="0" w:space="0" w:color="auto"/>
            <w:bottom w:val="none" w:sz="0" w:space="0" w:color="auto"/>
            <w:right w:val="none" w:sz="0" w:space="0" w:color="auto"/>
          </w:divBdr>
          <w:divsChild>
            <w:div w:id="205142730">
              <w:marLeft w:val="0"/>
              <w:marRight w:val="0"/>
              <w:marTop w:val="0"/>
              <w:marBottom w:val="0"/>
              <w:divBdr>
                <w:top w:val="none" w:sz="0" w:space="0" w:color="auto"/>
                <w:left w:val="none" w:sz="0" w:space="0" w:color="auto"/>
                <w:bottom w:val="none" w:sz="0" w:space="0" w:color="auto"/>
                <w:right w:val="none" w:sz="0" w:space="0" w:color="auto"/>
              </w:divBdr>
              <w:divsChild>
                <w:div w:id="393236466">
                  <w:marLeft w:val="0"/>
                  <w:marRight w:val="0"/>
                  <w:marTop w:val="0"/>
                  <w:marBottom w:val="0"/>
                  <w:divBdr>
                    <w:top w:val="none" w:sz="0" w:space="0" w:color="auto"/>
                    <w:left w:val="none" w:sz="0" w:space="0" w:color="auto"/>
                    <w:bottom w:val="none" w:sz="0" w:space="0" w:color="auto"/>
                    <w:right w:val="none" w:sz="0" w:space="0" w:color="auto"/>
                  </w:divBdr>
                  <w:divsChild>
                    <w:div w:id="421533328">
                      <w:marLeft w:val="0"/>
                      <w:marRight w:val="0"/>
                      <w:marTop w:val="0"/>
                      <w:marBottom w:val="0"/>
                      <w:divBdr>
                        <w:top w:val="none" w:sz="0" w:space="0" w:color="auto"/>
                        <w:left w:val="none" w:sz="0" w:space="0" w:color="auto"/>
                        <w:bottom w:val="none" w:sz="0" w:space="0" w:color="auto"/>
                        <w:right w:val="none" w:sz="0" w:space="0" w:color="auto"/>
                      </w:divBdr>
                      <w:divsChild>
                        <w:div w:id="307439519">
                          <w:marLeft w:val="0"/>
                          <w:marRight w:val="0"/>
                          <w:marTop w:val="0"/>
                          <w:marBottom w:val="0"/>
                          <w:divBdr>
                            <w:top w:val="none" w:sz="0" w:space="0" w:color="auto"/>
                            <w:left w:val="none" w:sz="0" w:space="0" w:color="auto"/>
                            <w:bottom w:val="none" w:sz="0" w:space="0" w:color="auto"/>
                            <w:right w:val="none" w:sz="0" w:space="0" w:color="auto"/>
                          </w:divBdr>
                          <w:divsChild>
                            <w:div w:id="658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06456205">
      <w:bodyDiv w:val="1"/>
      <w:marLeft w:val="0"/>
      <w:marRight w:val="0"/>
      <w:marTop w:val="0"/>
      <w:marBottom w:val="0"/>
      <w:divBdr>
        <w:top w:val="none" w:sz="0" w:space="0" w:color="auto"/>
        <w:left w:val="none" w:sz="0" w:space="0" w:color="auto"/>
        <w:bottom w:val="none" w:sz="0" w:space="0" w:color="auto"/>
        <w:right w:val="none" w:sz="0" w:space="0" w:color="auto"/>
      </w:divBdr>
      <w:divsChild>
        <w:div w:id="1962298610">
          <w:marLeft w:val="0"/>
          <w:marRight w:val="0"/>
          <w:marTop w:val="0"/>
          <w:marBottom w:val="0"/>
          <w:divBdr>
            <w:top w:val="none" w:sz="0" w:space="0" w:color="auto"/>
            <w:left w:val="none" w:sz="0" w:space="0" w:color="auto"/>
            <w:bottom w:val="none" w:sz="0" w:space="0" w:color="auto"/>
            <w:right w:val="none" w:sz="0" w:space="0" w:color="auto"/>
          </w:divBdr>
          <w:divsChild>
            <w:div w:id="114957107">
              <w:marLeft w:val="0"/>
              <w:marRight w:val="0"/>
              <w:marTop w:val="0"/>
              <w:marBottom w:val="0"/>
              <w:divBdr>
                <w:top w:val="none" w:sz="0" w:space="0" w:color="auto"/>
                <w:left w:val="none" w:sz="0" w:space="0" w:color="auto"/>
                <w:bottom w:val="none" w:sz="0" w:space="0" w:color="auto"/>
                <w:right w:val="none" w:sz="0" w:space="0" w:color="auto"/>
              </w:divBdr>
              <w:divsChild>
                <w:div w:id="455106100">
                  <w:marLeft w:val="0"/>
                  <w:marRight w:val="0"/>
                  <w:marTop w:val="0"/>
                  <w:marBottom w:val="0"/>
                  <w:divBdr>
                    <w:top w:val="none" w:sz="0" w:space="0" w:color="auto"/>
                    <w:left w:val="none" w:sz="0" w:space="0" w:color="auto"/>
                    <w:bottom w:val="none" w:sz="0" w:space="0" w:color="auto"/>
                    <w:right w:val="none" w:sz="0" w:space="0" w:color="auto"/>
                  </w:divBdr>
                  <w:divsChild>
                    <w:div w:id="1616061480">
                      <w:marLeft w:val="0"/>
                      <w:marRight w:val="0"/>
                      <w:marTop w:val="0"/>
                      <w:marBottom w:val="0"/>
                      <w:divBdr>
                        <w:top w:val="none" w:sz="0" w:space="0" w:color="auto"/>
                        <w:left w:val="none" w:sz="0" w:space="0" w:color="auto"/>
                        <w:bottom w:val="none" w:sz="0" w:space="0" w:color="auto"/>
                        <w:right w:val="none" w:sz="0" w:space="0" w:color="auto"/>
                      </w:divBdr>
                      <w:divsChild>
                        <w:div w:id="107823848">
                          <w:marLeft w:val="0"/>
                          <w:marRight w:val="0"/>
                          <w:marTop w:val="0"/>
                          <w:marBottom w:val="0"/>
                          <w:divBdr>
                            <w:top w:val="none" w:sz="0" w:space="0" w:color="auto"/>
                            <w:left w:val="none" w:sz="0" w:space="0" w:color="auto"/>
                            <w:bottom w:val="none" w:sz="0" w:space="0" w:color="auto"/>
                            <w:right w:val="none" w:sz="0" w:space="0" w:color="auto"/>
                          </w:divBdr>
                          <w:divsChild>
                            <w:div w:id="748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042317300">
      <w:bodyDiv w:val="1"/>
      <w:marLeft w:val="0"/>
      <w:marRight w:val="0"/>
      <w:marTop w:val="0"/>
      <w:marBottom w:val="0"/>
      <w:divBdr>
        <w:top w:val="none" w:sz="0" w:space="0" w:color="auto"/>
        <w:left w:val="none" w:sz="0" w:space="0" w:color="auto"/>
        <w:bottom w:val="none" w:sz="0" w:space="0" w:color="auto"/>
        <w:right w:val="none" w:sz="0" w:space="0" w:color="auto"/>
      </w:divBdr>
      <w:divsChild>
        <w:div w:id="2109807281">
          <w:marLeft w:val="0"/>
          <w:marRight w:val="0"/>
          <w:marTop w:val="0"/>
          <w:marBottom w:val="0"/>
          <w:divBdr>
            <w:top w:val="none" w:sz="0" w:space="0" w:color="auto"/>
            <w:left w:val="none" w:sz="0" w:space="0" w:color="auto"/>
            <w:bottom w:val="none" w:sz="0" w:space="0" w:color="auto"/>
            <w:right w:val="none" w:sz="0" w:space="0" w:color="auto"/>
          </w:divBdr>
          <w:divsChild>
            <w:div w:id="1379165941">
              <w:marLeft w:val="0"/>
              <w:marRight w:val="0"/>
              <w:marTop w:val="0"/>
              <w:marBottom w:val="0"/>
              <w:divBdr>
                <w:top w:val="none" w:sz="0" w:space="0" w:color="auto"/>
                <w:left w:val="none" w:sz="0" w:space="0" w:color="auto"/>
                <w:bottom w:val="none" w:sz="0" w:space="0" w:color="auto"/>
                <w:right w:val="none" w:sz="0" w:space="0" w:color="auto"/>
              </w:divBdr>
              <w:divsChild>
                <w:div w:id="889150366">
                  <w:marLeft w:val="0"/>
                  <w:marRight w:val="0"/>
                  <w:marTop w:val="0"/>
                  <w:marBottom w:val="0"/>
                  <w:divBdr>
                    <w:top w:val="none" w:sz="0" w:space="0" w:color="auto"/>
                    <w:left w:val="none" w:sz="0" w:space="0" w:color="auto"/>
                    <w:bottom w:val="none" w:sz="0" w:space="0" w:color="auto"/>
                    <w:right w:val="none" w:sz="0" w:space="0" w:color="auto"/>
                  </w:divBdr>
                  <w:divsChild>
                    <w:div w:id="1082751756">
                      <w:marLeft w:val="0"/>
                      <w:marRight w:val="0"/>
                      <w:marTop w:val="0"/>
                      <w:marBottom w:val="0"/>
                      <w:divBdr>
                        <w:top w:val="none" w:sz="0" w:space="0" w:color="auto"/>
                        <w:left w:val="none" w:sz="0" w:space="0" w:color="auto"/>
                        <w:bottom w:val="none" w:sz="0" w:space="0" w:color="auto"/>
                        <w:right w:val="none" w:sz="0" w:space="0" w:color="auto"/>
                      </w:divBdr>
                      <w:divsChild>
                        <w:div w:id="1943418935">
                          <w:marLeft w:val="0"/>
                          <w:marRight w:val="0"/>
                          <w:marTop w:val="0"/>
                          <w:marBottom w:val="0"/>
                          <w:divBdr>
                            <w:top w:val="none" w:sz="0" w:space="0" w:color="auto"/>
                            <w:left w:val="none" w:sz="0" w:space="0" w:color="auto"/>
                            <w:bottom w:val="none" w:sz="0" w:space="0" w:color="auto"/>
                            <w:right w:val="none" w:sz="0" w:space="0" w:color="auto"/>
                          </w:divBdr>
                          <w:divsChild>
                            <w:div w:id="8963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9411-A059-4DE8-8F98-DB4B7DEB6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83E47-26EB-45CE-8B97-730348CC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02F245-E318-4E20-888F-9957DBF5E459}">
  <ds:schemaRefs>
    <ds:schemaRef ds:uri="http://schemas.microsoft.com/sharepoint/v3/contenttype/forms"/>
  </ds:schemaRefs>
</ds:datastoreItem>
</file>

<file path=customXml/itemProps4.xml><?xml version="1.0" encoding="utf-8"?>
<ds:datastoreItem xmlns:ds="http://schemas.openxmlformats.org/officeDocument/2006/customXml" ds:itemID="{CA2165E3-7DEB-4475-8364-28CD85B3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7071</Words>
  <Characters>40305</Characters>
  <Application>Microsoft Office Word</Application>
  <DocSecurity>0</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2016-03-09T13:30:00Z</dcterms:created>
  <dcterms:modified xsi:type="dcterms:W3CDTF">2016-03-09T13:30:00Z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